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8E05A" w14:textId="77777777" w:rsidR="000267A7" w:rsidRDefault="000267A7" w:rsidP="00C6296D">
      <w:pPr>
        <w:pStyle w:val="Heading1"/>
      </w:pPr>
      <w:r w:rsidRPr="00795F88">
        <w:t>Technical Note</w:t>
      </w:r>
    </w:p>
    <w:p w14:paraId="4C23762A" w14:textId="287437AE" w:rsidR="000F7DA0" w:rsidRDefault="00795F88" w:rsidP="00C6296D">
      <w:pPr>
        <w:pStyle w:val="Heading1"/>
      </w:pPr>
      <w:r>
        <w:t>Aggregations of Climate Projections Methodology</w:t>
      </w:r>
    </w:p>
    <w:p w14:paraId="00706196" w14:textId="3D35B79F" w:rsidR="0005C9A1" w:rsidRDefault="0005C9A1"/>
    <w:p w14:paraId="71F97E2D" w14:textId="332F5E62" w:rsidR="00795F88" w:rsidRDefault="00795F88" w:rsidP="00C6296D">
      <w:r>
        <w:t>1</w:t>
      </w:r>
      <w:r w:rsidR="000077AE">
        <w:t>5</w:t>
      </w:r>
      <w:r>
        <w:t xml:space="preserve"> July 2025</w:t>
      </w:r>
    </w:p>
    <w:p w14:paraId="6494F0BC" w14:textId="77777777" w:rsidR="00795F88" w:rsidRDefault="00795F88" w:rsidP="00C6296D"/>
    <w:p w14:paraId="4BE60FA4" w14:textId="77777777" w:rsidR="000267A7" w:rsidRDefault="000267A7" w:rsidP="00C6296D"/>
    <w:p w14:paraId="54006767" w14:textId="77777777" w:rsidR="00BB059C" w:rsidRDefault="00BB059C" w:rsidP="00C6296D"/>
    <w:p w14:paraId="45903547" w14:textId="77777777" w:rsidR="00823D3E" w:rsidRPr="00823D3E" w:rsidRDefault="00823D3E" w:rsidP="00C6296D">
      <w:pPr>
        <w:pStyle w:val="Heading1"/>
      </w:pPr>
      <w:r w:rsidRPr="00823D3E">
        <w:t>CMIP6 Downscaled Climate Projections for Aotearoa New Zealand</w:t>
      </w:r>
    </w:p>
    <w:p w14:paraId="4858B3EB" w14:textId="77777777" w:rsidR="00823D3E" w:rsidRDefault="00823D3E" w:rsidP="00C6296D"/>
    <w:p w14:paraId="04C6FB51" w14:textId="11033FA6" w:rsidR="00396C7C" w:rsidRPr="00C6296D" w:rsidRDefault="00396C7C" w:rsidP="00C6296D">
      <w:r w:rsidRPr="00C6296D">
        <w:t>NIWA</w:t>
      </w:r>
      <w:r w:rsidR="00823D3E" w:rsidRPr="00396C7C">
        <w:rPr>
          <w:rFonts w:eastAsia="Calibri"/>
          <w:kern w:val="0"/>
          <w:vertAlign w:val="superscript"/>
          <w14:ligatures w14:val="none"/>
        </w:rPr>
        <w:footnoteReference w:id="2"/>
      </w:r>
      <w:r w:rsidRPr="00C6296D">
        <w:t xml:space="preserve"> has produced </w:t>
      </w:r>
      <w:r w:rsidR="00823D3E" w:rsidRPr="00C6296D">
        <w:t xml:space="preserve">updated climate projections for </w:t>
      </w:r>
      <w:r w:rsidR="00823D3E" w:rsidRPr="00C6296D">
        <w:rPr>
          <w:lang w:val="en-GB"/>
        </w:rPr>
        <w:t>Aotearoa New Zealan</w:t>
      </w:r>
      <w:r w:rsidR="00823D3E" w:rsidRPr="00C6296D">
        <w:t xml:space="preserve">d, by downscaling and bias-correcting </w:t>
      </w:r>
      <w:r w:rsidR="00D43C53" w:rsidRPr="00C6296D">
        <w:t>models</w:t>
      </w:r>
      <w:r w:rsidR="00823D3E" w:rsidRPr="00C6296D">
        <w:t xml:space="preserve"> from the </w:t>
      </w:r>
      <w:r w:rsidR="00823D3E" w:rsidRPr="00C6296D">
        <w:rPr>
          <w:lang w:val="en-GB"/>
        </w:rPr>
        <w:t>Coupled Model Intercomparison Project Phase Six (CMIP6)</w:t>
      </w:r>
      <w:r w:rsidR="00823D3E" w:rsidRPr="00C6296D">
        <w:rPr>
          <w:rStyle w:val="FootnoteReference"/>
        </w:rPr>
        <w:footnoteReference w:id="3"/>
      </w:r>
      <w:r w:rsidR="00823D3E" w:rsidRPr="00C6296D">
        <w:t xml:space="preserve">. </w:t>
      </w:r>
    </w:p>
    <w:p w14:paraId="21FF4C35" w14:textId="77777777" w:rsidR="00823D3E" w:rsidRPr="00C6296D" w:rsidRDefault="00823D3E" w:rsidP="00C6296D"/>
    <w:p w14:paraId="6688A9D2" w14:textId="113D45E7" w:rsidR="00823D3E" w:rsidRPr="00C6296D" w:rsidRDefault="00823D3E" w:rsidP="00C6296D">
      <w:r w:rsidRPr="00C6296D">
        <w:t>Two versions of those results have been provided to the Ministry for the Environment to make public</w:t>
      </w:r>
      <w:r w:rsidR="00D43C53" w:rsidRPr="00C6296D">
        <w:t>ly available</w:t>
      </w:r>
      <w:r w:rsidR="00136016" w:rsidRPr="00C6296D">
        <w:rPr>
          <w:rStyle w:val="FootnoteReference"/>
        </w:rPr>
        <w:footnoteReference w:id="4"/>
      </w:r>
      <w:r w:rsidR="00136016" w:rsidRPr="00C6296D">
        <w:t>:</w:t>
      </w:r>
    </w:p>
    <w:p w14:paraId="435A0241" w14:textId="007F8C74" w:rsidR="00823D3E" w:rsidRPr="00C6296D" w:rsidRDefault="00D43C53" w:rsidP="00C6296D">
      <w:pPr>
        <w:pStyle w:val="ListParagraph"/>
        <w:numPr>
          <w:ilvl w:val="0"/>
          <w:numId w:val="2"/>
        </w:numPr>
        <w:ind w:left="567"/>
        <w:rPr>
          <w:b/>
          <w:bCs/>
          <w:lang w:val="en-GB"/>
        </w:rPr>
      </w:pPr>
      <w:r w:rsidRPr="0005C9A1">
        <w:rPr>
          <w:b/>
          <w:bCs/>
          <w:lang w:val="en-US"/>
        </w:rPr>
        <w:t>The “</w:t>
      </w:r>
      <w:r w:rsidR="00823D3E" w:rsidRPr="0005C9A1">
        <w:rPr>
          <w:b/>
          <w:bCs/>
          <w:lang w:val="en-US"/>
        </w:rPr>
        <w:t>Core</w:t>
      </w:r>
      <w:r w:rsidR="421FF0D6" w:rsidRPr="0005C9A1">
        <w:rPr>
          <w:b/>
          <w:bCs/>
          <w:lang w:val="en-US"/>
        </w:rPr>
        <w:t xml:space="preserve"> Public Dataset</w:t>
      </w:r>
      <w:r w:rsidRPr="0005C9A1">
        <w:rPr>
          <w:b/>
          <w:bCs/>
          <w:lang w:val="en-US"/>
        </w:rPr>
        <w:t>”</w:t>
      </w:r>
      <w:r w:rsidR="00823D3E" w:rsidRPr="0005C9A1">
        <w:rPr>
          <w:b/>
          <w:bCs/>
          <w:lang w:val="en-US"/>
        </w:rPr>
        <w:t xml:space="preserve"> data </w:t>
      </w:r>
    </w:p>
    <w:p w14:paraId="30B48F0B" w14:textId="4C7556BB" w:rsidR="00D43C53" w:rsidRPr="00C6296D" w:rsidRDefault="00823D3E" w:rsidP="00C6296D">
      <w:pPr>
        <w:ind w:left="567"/>
        <w:rPr>
          <w:lang w:val="en-US"/>
        </w:rPr>
      </w:pPr>
      <w:r w:rsidRPr="00823D3E">
        <w:rPr>
          <w:lang w:val="en-US"/>
        </w:rPr>
        <w:t>More than 25 climate indicators</w:t>
      </w:r>
      <w:r w:rsidR="00D43C53" w:rsidRPr="00C6296D">
        <w:rPr>
          <w:lang w:val="en-US"/>
        </w:rPr>
        <w:t xml:space="preserve">, provided for </w:t>
      </w:r>
      <w:r w:rsidR="00A3427F" w:rsidRPr="00C6296D">
        <w:rPr>
          <w:lang w:val="en-US"/>
        </w:rPr>
        <w:t xml:space="preserve">two base periods, </w:t>
      </w:r>
      <w:r w:rsidR="00D43C53" w:rsidRPr="00C6296D">
        <w:rPr>
          <w:lang w:val="en-US"/>
        </w:rPr>
        <w:t xml:space="preserve">one historical and three future twenty-year periods, </w:t>
      </w:r>
      <w:r w:rsidR="00A3427F" w:rsidRPr="00C6296D">
        <w:rPr>
          <w:lang w:val="en-US"/>
        </w:rPr>
        <w:t xml:space="preserve">four </w:t>
      </w:r>
      <w:r w:rsidR="00D43C53" w:rsidRPr="00C6296D">
        <w:rPr>
          <w:lang w:val="en-US"/>
        </w:rPr>
        <w:t>warming levels, four scenarios, six models and multi-model mean (MMM)</w:t>
      </w:r>
      <w:r w:rsidR="00A3427F" w:rsidRPr="00C6296D">
        <w:rPr>
          <w:lang w:val="en-US"/>
        </w:rPr>
        <w:t>, annual and (in most cases)</w:t>
      </w:r>
      <w:r w:rsidR="00D43C53" w:rsidRPr="00C6296D">
        <w:rPr>
          <w:lang w:val="en-US"/>
        </w:rPr>
        <w:t xml:space="preserve"> </w:t>
      </w:r>
      <w:r w:rsidR="00A3427F" w:rsidRPr="00C6296D">
        <w:rPr>
          <w:lang w:val="en-US"/>
        </w:rPr>
        <w:t xml:space="preserve">four seasons, for values and change in values. </w:t>
      </w:r>
    </w:p>
    <w:p w14:paraId="7BFD8DB9" w14:textId="26F56F1E" w:rsidR="00823D3E" w:rsidRPr="00C6296D" w:rsidRDefault="00823D3E" w:rsidP="00C6296D">
      <w:pPr>
        <w:pStyle w:val="ListParagraph"/>
        <w:numPr>
          <w:ilvl w:val="0"/>
          <w:numId w:val="2"/>
        </w:numPr>
        <w:ind w:left="567"/>
        <w:rPr>
          <w:b/>
          <w:bCs/>
        </w:rPr>
      </w:pPr>
      <w:r w:rsidRPr="00C6296D">
        <w:rPr>
          <w:b/>
          <w:bCs/>
        </w:rPr>
        <w:t xml:space="preserve">Daily data </w:t>
      </w:r>
    </w:p>
    <w:p w14:paraId="4932EC57" w14:textId="06203732" w:rsidR="00823D3E" w:rsidRPr="00823D3E" w:rsidRDefault="00823D3E" w:rsidP="00C6296D">
      <w:pPr>
        <w:ind w:left="567"/>
        <w:rPr>
          <w:lang w:val="en-GB"/>
        </w:rPr>
      </w:pPr>
      <w:r w:rsidRPr="00823D3E">
        <w:rPr>
          <w:lang w:val="en-US"/>
        </w:rPr>
        <w:t>Daily bias-corrected data for 9 key variables for New Zealand</w:t>
      </w:r>
      <w:r w:rsidR="00A3427F" w:rsidRPr="00C6296D">
        <w:rPr>
          <w:lang w:val="en-US"/>
        </w:rPr>
        <w:t>, provided for the periods, warming levels, scenarios, models and seasons, as above.</w:t>
      </w:r>
    </w:p>
    <w:p w14:paraId="10E1F0D1" w14:textId="77777777" w:rsidR="00396C7C" w:rsidRPr="00C6296D" w:rsidRDefault="00396C7C" w:rsidP="00C6296D"/>
    <w:p w14:paraId="693674C8" w14:textId="08F56C5A" w:rsidR="00D43C53" w:rsidRPr="00C6296D" w:rsidRDefault="00D43C53" w:rsidP="00C6296D">
      <w:pPr>
        <w:rPr>
          <w:lang w:val="en-GB"/>
        </w:rPr>
      </w:pPr>
      <w:r w:rsidRPr="00C6296D">
        <w:t xml:space="preserve">Both sets of data are provided </w:t>
      </w:r>
      <w:r w:rsidR="00A3427F" w:rsidRPr="00C6296D">
        <w:t>at Agent level, a gridded form</w:t>
      </w:r>
      <w:r w:rsidRPr="00C6296D">
        <w:t xml:space="preserve"> described </w:t>
      </w:r>
      <w:r w:rsidR="000077AE">
        <w:t>in the section on</w:t>
      </w:r>
      <w:r w:rsidRPr="00C6296D">
        <w:t xml:space="preserve"> the NIWA VCSN grid below. This means values are provided </w:t>
      </w:r>
      <w:r w:rsidR="00A3427F" w:rsidRPr="00C6296D">
        <w:t>for</w:t>
      </w:r>
      <w:r w:rsidRPr="00C6296D">
        <w:t xml:space="preserve"> 11,491 grid</w:t>
      </w:r>
      <w:r w:rsidR="00C6296D">
        <w:t>-</w:t>
      </w:r>
      <w:r w:rsidRPr="00C6296D">
        <w:t>points</w:t>
      </w:r>
      <w:r w:rsidR="00A3427F" w:rsidRPr="00C6296D">
        <w:t xml:space="preserve">. This complex data is provided in </w:t>
      </w:r>
      <w:proofErr w:type="spellStart"/>
      <w:r w:rsidR="00A3427F" w:rsidRPr="00C6296D">
        <w:t>netCDF</w:t>
      </w:r>
      <w:proofErr w:type="spellEnd"/>
      <w:r w:rsidR="00A3427F" w:rsidRPr="00C6296D">
        <w:t xml:space="preserve"> format</w:t>
      </w:r>
      <w:r w:rsidR="00A3427F" w:rsidRPr="00C6296D">
        <w:rPr>
          <w:rStyle w:val="FootnoteReference"/>
        </w:rPr>
        <w:footnoteReference w:id="5"/>
      </w:r>
      <w:r w:rsidR="00A3427F" w:rsidRPr="00C6296D">
        <w:t xml:space="preserve"> and the Ministry for the Environment is working to make data available in other formats for a </w:t>
      </w:r>
      <w:r w:rsidR="000077AE">
        <w:t xml:space="preserve">wider </w:t>
      </w:r>
      <w:r w:rsidR="00A3427F" w:rsidRPr="00C6296D">
        <w:t>range of users.</w:t>
      </w:r>
    </w:p>
    <w:p w14:paraId="06E57459" w14:textId="692B18F6" w:rsidR="00396C7C" w:rsidRPr="00C6296D" w:rsidRDefault="00396C7C" w:rsidP="00C6296D"/>
    <w:p w14:paraId="4931DF46" w14:textId="288A9DC3" w:rsidR="00D43C53" w:rsidRPr="00C6296D" w:rsidRDefault="00A3427F" w:rsidP="00C6296D">
      <w:r w:rsidRPr="00C6296D">
        <w:t xml:space="preserve">Many users and researchers need climate projections for particular areas, like a city, or town, for a district or region, for </w:t>
      </w:r>
      <w:r w:rsidR="00445A08" w:rsidRPr="00C6296D">
        <w:t xml:space="preserve">an area reported in the census, for </w:t>
      </w:r>
      <w:r w:rsidRPr="00C6296D">
        <w:t xml:space="preserve">iwi </w:t>
      </w:r>
      <w:proofErr w:type="spellStart"/>
      <w:r w:rsidRPr="00C6296D">
        <w:t>rohe</w:t>
      </w:r>
      <w:proofErr w:type="spellEnd"/>
      <w:r w:rsidRPr="00C6296D">
        <w:t>, or for river catchment</w:t>
      </w:r>
      <w:r w:rsidR="00445A08" w:rsidRPr="00C6296D">
        <w:t>s</w:t>
      </w:r>
      <w:r w:rsidRPr="00C6296D">
        <w:t xml:space="preserve">. </w:t>
      </w:r>
      <w:r w:rsidR="00D43C53" w:rsidRPr="00C6296D">
        <w:t xml:space="preserve">This technical note describes how the data </w:t>
      </w:r>
      <w:r w:rsidRPr="00C6296D">
        <w:t xml:space="preserve">at grid-level </w:t>
      </w:r>
      <w:r w:rsidR="000077AE">
        <w:t>is</w:t>
      </w:r>
      <w:r w:rsidR="00D43C53" w:rsidRPr="00C6296D">
        <w:t xml:space="preserve"> aggregated to </w:t>
      </w:r>
      <w:r w:rsidRPr="00C6296D">
        <w:t>areas that are meaningful to people.</w:t>
      </w:r>
    </w:p>
    <w:p w14:paraId="3F781E94" w14:textId="7E39E882" w:rsidR="001C5F24" w:rsidRDefault="001C5F24" w:rsidP="00C6296D"/>
    <w:p w14:paraId="01112AFB" w14:textId="77777777" w:rsidR="000077AE" w:rsidRPr="00C6296D" w:rsidRDefault="000077AE" w:rsidP="00C6296D"/>
    <w:p w14:paraId="31E8ED64" w14:textId="47D48827" w:rsidR="00396C7C" w:rsidRPr="00396C7C" w:rsidRDefault="00136016" w:rsidP="00C6296D">
      <w:pPr>
        <w:pStyle w:val="Heading1"/>
      </w:pPr>
      <w:r>
        <w:t xml:space="preserve">The </w:t>
      </w:r>
      <w:r w:rsidR="00396C7C" w:rsidRPr="00396C7C">
        <w:t xml:space="preserve">NIWA VCSN </w:t>
      </w:r>
      <w:r w:rsidR="00396C7C">
        <w:t>Grid</w:t>
      </w:r>
    </w:p>
    <w:p w14:paraId="4FE7D3D1" w14:textId="77777777" w:rsidR="00396C7C" w:rsidRPr="00396C7C" w:rsidRDefault="00396C7C" w:rsidP="00C6296D"/>
    <w:p w14:paraId="0BB5E580" w14:textId="30C73B53" w:rsidR="00396C7C" w:rsidRPr="00396C7C" w:rsidRDefault="00136016" w:rsidP="00C6296D">
      <w:r>
        <w:t>The</w:t>
      </w:r>
      <w:r w:rsidR="00396C7C" w:rsidRPr="00396C7C">
        <w:t xml:space="preserve"> Virtual Climate Station Network (VCSN)</w:t>
      </w:r>
      <w:r>
        <w:t xml:space="preserve"> is a grid </w:t>
      </w:r>
      <w:r w:rsidR="000077AE">
        <w:t>developed</w:t>
      </w:r>
      <w:r>
        <w:t xml:space="preserve"> </w:t>
      </w:r>
      <w:r w:rsidR="001C5F24">
        <w:t xml:space="preserve">by NIWA </w:t>
      </w:r>
      <w:r>
        <w:t xml:space="preserve">for historical climate data and for </w:t>
      </w:r>
      <w:r w:rsidR="000077AE">
        <w:t xml:space="preserve">climate </w:t>
      </w:r>
      <w:r>
        <w:t xml:space="preserve">projections. The </w:t>
      </w:r>
      <w:r w:rsidR="000077AE">
        <w:t>development of the VCSN historical data and transformation from observations to the gridded format is</w:t>
      </w:r>
      <w:r>
        <w:t xml:space="preserve"> described in papers</w:t>
      </w:r>
      <w:r w:rsidR="000077AE">
        <w:t xml:space="preserve"> by Dr Andrew Tait and colleagues</w:t>
      </w:r>
      <w:r>
        <w:rPr>
          <w:rStyle w:val="FootnoteReference"/>
          <w:rFonts w:eastAsia="Calibri" w:cs="Times New Roman"/>
          <w:kern w:val="0"/>
          <w14:ligatures w14:val="none"/>
        </w:rPr>
        <w:footnoteReference w:id="6"/>
      </w:r>
      <w:r>
        <w:t xml:space="preserve">. </w:t>
      </w:r>
    </w:p>
    <w:p w14:paraId="0931256F" w14:textId="691E7ECC" w:rsidR="00396C7C" w:rsidRDefault="00396C7C" w:rsidP="00C6296D">
      <w:r w:rsidRPr="00396C7C">
        <w:t xml:space="preserve">The VCSN </w:t>
      </w:r>
      <w:r w:rsidR="001C5F24">
        <w:t>grid has</w:t>
      </w:r>
      <w:r w:rsidRPr="00396C7C">
        <w:t xml:space="preserve"> a resolution of approximately 5</w:t>
      </w:r>
      <w:r w:rsidR="000077AE">
        <w:t xml:space="preserve"> </w:t>
      </w:r>
      <w:r w:rsidRPr="00396C7C">
        <w:t>km</w:t>
      </w:r>
      <w:r w:rsidRPr="00396C7C">
        <w:rPr>
          <w:vertAlign w:val="superscript"/>
        </w:rPr>
        <w:footnoteReference w:id="7"/>
      </w:r>
      <w:r w:rsidRPr="00396C7C">
        <w:t xml:space="preserve">. </w:t>
      </w:r>
      <w:r w:rsidR="000077AE">
        <w:t>It has</w:t>
      </w:r>
      <w:r w:rsidRPr="00396C7C">
        <w:t xml:space="preserve"> 11,491 gridded points or “agents”</w:t>
      </w:r>
      <w:r w:rsidR="000077AE">
        <w:t xml:space="preserve"> across New Zealand, excluding the Chatham Islands. The</w:t>
      </w:r>
      <w:r w:rsidRPr="00396C7C">
        <w:t xml:space="preserve"> same grid is used for </w:t>
      </w:r>
      <w:r w:rsidR="000077AE">
        <w:t xml:space="preserve">historical climate and the </w:t>
      </w:r>
      <w:r w:rsidRPr="00396C7C">
        <w:t xml:space="preserve">results of down-scaled climate model projections. The grid is illustrated </w:t>
      </w:r>
      <w:r w:rsidR="001C5F24">
        <w:t xml:space="preserve">as grey dots for </w:t>
      </w:r>
      <w:r w:rsidRPr="00396C7C">
        <w:t xml:space="preserve">part of North Canterbury in Figure </w:t>
      </w:r>
      <w:r w:rsidR="001C5F24">
        <w:t>1</w:t>
      </w:r>
      <w:r w:rsidRPr="00396C7C">
        <w:t xml:space="preserve">. </w:t>
      </w:r>
    </w:p>
    <w:p w14:paraId="0E9991AA" w14:textId="77777777" w:rsidR="00006B1C" w:rsidRPr="00396C7C" w:rsidRDefault="00006B1C" w:rsidP="00C6296D"/>
    <w:p w14:paraId="3D75CC1F" w14:textId="2EECC8A0" w:rsidR="00396C7C" w:rsidRPr="00396C7C" w:rsidRDefault="00F005B7" w:rsidP="00C6296D">
      <w:r w:rsidRPr="00396C7C">
        <w:rPr>
          <w:noProof/>
        </w:rPr>
        <w:drawing>
          <wp:anchor distT="0" distB="0" distL="114300" distR="114300" simplePos="0" relativeHeight="251658240" behindDoc="0" locked="0" layoutInCell="1" allowOverlap="1" wp14:anchorId="42C97C96" wp14:editId="307F7DB3">
            <wp:simplePos x="0" y="0"/>
            <wp:positionH relativeFrom="margin">
              <wp:posOffset>618490</wp:posOffset>
            </wp:positionH>
            <wp:positionV relativeFrom="paragraph">
              <wp:posOffset>173990</wp:posOffset>
            </wp:positionV>
            <wp:extent cx="4543425" cy="5186680"/>
            <wp:effectExtent l="0" t="0" r="9525" b="0"/>
            <wp:wrapTopAndBottom/>
            <wp:docPr id="66" name="Picture 6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43425" cy="5186680"/>
                    </a:xfrm>
                    <a:prstGeom prst="rect">
                      <a:avLst/>
                    </a:prstGeom>
                  </pic:spPr>
                </pic:pic>
              </a:graphicData>
            </a:graphic>
            <wp14:sizeRelH relativeFrom="margin">
              <wp14:pctWidth>0</wp14:pctWidth>
            </wp14:sizeRelH>
            <wp14:sizeRelV relativeFrom="margin">
              <wp14:pctHeight>0</wp14:pctHeight>
            </wp14:sizeRelV>
          </wp:anchor>
        </w:drawing>
      </w:r>
    </w:p>
    <w:p w14:paraId="4E266980" w14:textId="77777777" w:rsidR="00F005B7" w:rsidRDefault="00F005B7" w:rsidP="00C6296D"/>
    <w:p w14:paraId="1F162777" w14:textId="2605F8CC" w:rsidR="00396C7C" w:rsidRPr="00BB059C" w:rsidRDefault="00396C7C" w:rsidP="00BB059C">
      <w:pPr>
        <w:jc w:val="center"/>
        <w:rPr>
          <w:b/>
          <w:bCs/>
        </w:rPr>
      </w:pPr>
      <w:r w:rsidRPr="00BB059C">
        <w:rPr>
          <w:b/>
          <w:bCs/>
        </w:rPr>
        <w:t xml:space="preserve">Figure </w:t>
      </w:r>
      <w:r w:rsidR="001C5F24" w:rsidRPr="00BB059C">
        <w:rPr>
          <w:b/>
          <w:bCs/>
        </w:rPr>
        <w:t>1</w:t>
      </w:r>
      <w:r w:rsidRPr="00BB059C">
        <w:rPr>
          <w:b/>
          <w:bCs/>
        </w:rPr>
        <w:t>: VCSN agents and spatial boundaries for Hurunui District and surrounding areas</w:t>
      </w:r>
    </w:p>
    <w:p w14:paraId="2FF4B74E" w14:textId="77777777" w:rsidR="00396C7C" w:rsidRPr="00396C7C" w:rsidRDefault="00396C7C" w:rsidP="00C6296D"/>
    <w:p w14:paraId="12B1781F" w14:textId="77777777" w:rsidR="005C4D26" w:rsidRDefault="005C4D26" w:rsidP="00C6296D"/>
    <w:p w14:paraId="59B6D0FE" w14:textId="5F45E20F" w:rsidR="00F005B7" w:rsidRDefault="7261BBB6" w:rsidP="00C6296D">
      <w:r>
        <w:t xml:space="preserve">VSCN grid geospatial data sets are available on the </w:t>
      </w:r>
      <w:hyperlink r:id="rId13" w:anchor="vcsn-agent-data">
        <w:r w:rsidRPr="0005C9A1">
          <w:rPr>
            <w:rStyle w:val="Hyperlink"/>
          </w:rPr>
          <w:t>Climate Data Website</w:t>
        </w:r>
      </w:hyperlink>
      <w:r w:rsidR="00006B1C">
        <w:br w:type="page"/>
      </w:r>
    </w:p>
    <w:p w14:paraId="05914B37" w14:textId="3B26C741" w:rsidR="001C5F24" w:rsidRPr="00396C7C" w:rsidRDefault="001C5F24" w:rsidP="00C6296D">
      <w:pPr>
        <w:pStyle w:val="Heading1"/>
      </w:pPr>
      <w:r w:rsidRPr="00396C7C">
        <w:t>Spatial Amalgamations</w:t>
      </w:r>
      <w:r>
        <w:t xml:space="preserve"> using the Lasso Method</w:t>
      </w:r>
    </w:p>
    <w:p w14:paraId="31FF3D1F" w14:textId="77777777" w:rsidR="001C5F24" w:rsidRPr="00396C7C" w:rsidRDefault="001C5F24" w:rsidP="00C6296D"/>
    <w:p w14:paraId="27D89452" w14:textId="2F2DE90F" w:rsidR="001C5F24" w:rsidRDefault="001C5F24" w:rsidP="00C6296D">
      <w:r w:rsidRPr="00396C7C">
        <w:t xml:space="preserve">A useful characteristic of evenly-spaced VCSN agents is that </w:t>
      </w:r>
      <w:r>
        <w:t xml:space="preserve">amalgamations </w:t>
      </w:r>
      <w:r w:rsidRPr="00396C7C">
        <w:t xml:space="preserve">can be </w:t>
      </w:r>
      <w:r>
        <w:t>done</w:t>
      </w:r>
      <w:r w:rsidRPr="00396C7C">
        <w:t xml:space="preserve"> using spatial analysis techniques. </w:t>
      </w:r>
      <w:r>
        <w:t>In the simplest form</w:t>
      </w:r>
      <w:r w:rsidRPr="00396C7C">
        <w:t xml:space="preserve">, </w:t>
      </w:r>
      <w:r w:rsidR="002C7AA2">
        <w:t>GIS</w:t>
      </w:r>
      <w:r w:rsidR="002C7AA2">
        <w:rPr>
          <w:rStyle w:val="FootnoteReference"/>
          <w:rFonts w:eastAsia="Calibri" w:cs="Times New Roman"/>
          <w:kern w:val="0"/>
          <w14:ligatures w14:val="none"/>
        </w:rPr>
        <w:footnoteReference w:id="8"/>
      </w:r>
      <w:r w:rsidR="002C7AA2">
        <w:t xml:space="preserve"> </w:t>
      </w:r>
      <w:r w:rsidRPr="00396C7C">
        <w:t xml:space="preserve">spatial analysis tools </w:t>
      </w:r>
      <w:r>
        <w:t xml:space="preserve">are </w:t>
      </w:r>
      <w:r w:rsidRPr="00396C7C">
        <w:t>used to “lasso”</w:t>
      </w:r>
      <w:r w:rsidRPr="00396C7C">
        <w:rPr>
          <w:vertAlign w:val="superscript"/>
        </w:rPr>
        <w:footnoteReference w:id="9"/>
      </w:r>
      <w:r w:rsidRPr="00396C7C">
        <w:t xml:space="preserve"> and assign VCSN agents. Any polygon can be used to define a spatial amalgamation and extract the climate for that area</w:t>
      </w:r>
      <w:r w:rsidR="002C7AA2">
        <w:t>.</w:t>
      </w:r>
      <w:r w:rsidRPr="00396C7C">
        <w:t xml:space="preserve"> </w:t>
      </w:r>
    </w:p>
    <w:p w14:paraId="43B18A43" w14:textId="77777777" w:rsidR="00F005B7" w:rsidRPr="00396C7C" w:rsidRDefault="00F005B7" w:rsidP="00C6296D"/>
    <w:p w14:paraId="783B0A1A" w14:textId="4561DC48" w:rsidR="005C4D26" w:rsidRDefault="005C4D26" w:rsidP="00C6296D">
      <w:r>
        <w:t xml:space="preserve">The </w:t>
      </w:r>
      <w:r w:rsidR="002C7AA2">
        <w:t>l</w:t>
      </w:r>
      <w:r>
        <w:t xml:space="preserve">asso method is conceptually straightforward. In Figure 1, the polygon for the Hurunui District Council is illustrated as a blue line. It is as if that blue line is a lasso thrown around the grid-points. The captured grid-points are then averaged to </w:t>
      </w:r>
      <w:r w:rsidR="002C7AA2">
        <w:t>determine</w:t>
      </w:r>
      <w:r>
        <w:t xml:space="preserve"> climate for the area. </w:t>
      </w:r>
    </w:p>
    <w:p w14:paraId="65C73441" w14:textId="77777777" w:rsidR="005C4D26" w:rsidRDefault="005C4D26" w:rsidP="00C6296D"/>
    <w:p w14:paraId="5A28F238" w14:textId="0BFF8CBF" w:rsidR="00396C7C" w:rsidRDefault="00027DFC" w:rsidP="00C6296D">
      <w:r>
        <w:t>The technique was explored initially for historical climate data by Professor Heather McLeod and Professor James Renwick in work done at Vi</w:t>
      </w:r>
      <w:r w:rsidR="005C4D26">
        <w:t>c</w:t>
      </w:r>
      <w:r>
        <w:t>toria University Wellington</w:t>
      </w:r>
      <w:r w:rsidR="005C4D26">
        <w:rPr>
          <w:rStyle w:val="FootnoteReference"/>
          <w:rFonts w:eastAsia="Calibri" w:cs="Times New Roman"/>
          <w:kern w:val="0"/>
          <w14:ligatures w14:val="none"/>
        </w:rPr>
        <w:footnoteReference w:id="10"/>
      </w:r>
      <w:r>
        <w:t xml:space="preserve">.  </w:t>
      </w:r>
      <w:r w:rsidR="00396C7C" w:rsidRPr="00396C7C">
        <w:t xml:space="preserve">Spatial amalgamations </w:t>
      </w:r>
      <w:r>
        <w:t xml:space="preserve">produced using historical climate </w:t>
      </w:r>
      <w:r w:rsidR="005C4D26">
        <w:t>have included</w:t>
      </w:r>
      <w:r w:rsidR="00396C7C" w:rsidRPr="00396C7C">
        <w:t>:</w:t>
      </w:r>
    </w:p>
    <w:p w14:paraId="6FE121BD" w14:textId="618B3A71" w:rsidR="00396C7C" w:rsidRPr="00396C7C" w:rsidRDefault="00396C7C" w:rsidP="00E47078">
      <w:pPr>
        <w:pStyle w:val="ListParagraph"/>
        <w:numPr>
          <w:ilvl w:val="0"/>
          <w:numId w:val="1"/>
        </w:numPr>
        <w:spacing w:before="120"/>
        <w:ind w:left="714" w:hanging="357"/>
      </w:pPr>
      <w:r w:rsidRPr="00C6296D">
        <w:rPr>
          <w:b/>
          <w:bCs/>
        </w:rPr>
        <w:t>Island</w:t>
      </w:r>
      <w:r w:rsidR="00724C87" w:rsidRPr="00C6296D">
        <w:rPr>
          <w:b/>
          <w:bCs/>
        </w:rPr>
        <w:t xml:space="preserve">: </w:t>
      </w:r>
      <w:r w:rsidRPr="00396C7C">
        <w:t>North Island, South Island.</w:t>
      </w:r>
    </w:p>
    <w:p w14:paraId="2AD82FDF" w14:textId="54DBA27F" w:rsidR="00396C7C" w:rsidRPr="00396C7C" w:rsidRDefault="00396C7C" w:rsidP="00C6296D">
      <w:pPr>
        <w:pStyle w:val="ListParagraph"/>
        <w:numPr>
          <w:ilvl w:val="0"/>
          <w:numId w:val="1"/>
        </w:numPr>
      </w:pPr>
      <w:r w:rsidRPr="00C6296D">
        <w:rPr>
          <w:b/>
          <w:bCs/>
        </w:rPr>
        <w:t>Stats NZ</w:t>
      </w:r>
      <w:r w:rsidRPr="00396C7C">
        <w:t xml:space="preserve"> </w:t>
      </w:r>
      <w:r w:rsidRPr="00C6296D">
        <w:rPr>
          <w:b/>
          <w:bCs/>
        </w:rPr>
        <w:t>administrative boundaries</w:t>
      </w:r>
      <w:r w:rsidR="00724C87" w:rsidRPr="00C6296D">
        <w:rPr>
          <w:b/>
          <w:bCs/>
        </w:rPr>
        <w:t xml:space="preserve">: </w:t>
      </w:r>
      <w:r w:rsidRPr="00396C7C">
        <w:t>15 regions, 67 territorial authorities, 2,175 SA2 areas</w:t>
      </w:r>
      <w:r w:rsidRPr="00396C7C">
        <w:rPr>
          <w:vertAlign w:val="superscript"/>
        </w:rPr>
        <w:footnoteReference w:id="11"/>
      </w:r>
      <w:r w:rsidRPr="00396C7C">
        <w:t>.</w:t>
      </w:r>
    </w:p>
    <w:p w14:paraId="0C52B3C3" w14:textId="2BBC8D4C" w:rsidR="002C5981" w:rsidRPr="00396C7C" w:rsidRDefault="002C5981" w:rsidP="00C6296D">
      <w:pPr>
        <w:pStyle w:val="ListParagraph"/>
        <w:numPr>
          <w:ilvl w:val="0"/>
          <w:numId w:val="1"/>
        </w:numPr>
      </w:pPr>
      <w:r w:rsidRPr="00C6296D">
        <w:rPr>
          <w:b/>
          <w:bCs/>
        </w:rPr>
        <w:t xml:space="preserve">Iwi </w:t>
      </w:r>
      <w:proofErr w:type="spellStart"/>
      <w:r w:rsidRPr="00C6296D">
        <w:rPr>
          <w:b/>
          <w:bCs/>
        </w:rPr>
        <w:t>rohe</w:t>
      </w:r>
      <w:proofErr w:type="spellEnd"/>
      <w:r w:rsidRPr="00C6296D">
        <w:rPr>
          <w:b/>
          <w:bCs/>
        </w:rPr>
        <w:t xml:space="preserve"> and areas of interest</w:t>
      </w:r>
      <w:r w:rsidR="00724C87" w:rsidRPr="00C6296D">
        <w:rPr>
          <w:b/>
          <w:bCs/>
        </w:rPr>
        <w:t xml:space="preserve">: </w:t>
      </w:r>
      <w:r w:rsidRPr="00396C7C">
        <w:t xml:space="preserve">107 iwi </w:t>
      </w:r>
      <w:proofErr w:type="spellStart"/>
      <w:r w:rsidRPr="00396C7C">
        <w:t>rohe</w:t>
      </w:r>
      <w:proofErr w:type="spellEnd"/>
      <w:r w:rsidRPr="00396C7C">
        <w:t xml:space="preserve">, sourced from </w:t>
      </w:r>
      <w:proofErr w:type="spellStart"/>
      <w:r w:rsidRPr="00396C7C">
        <w:t>Te</w:t>
      </w:r>
      <w:proofErr w:type="spellEnd"/>
      <w:r w:rsidRPr="00396C7C">
        <w:t xml:space="preserve"> Puni </w:t>
      </w:r>
      <w:proofErr w:type="spellStart"/>
      <w:r w:rsidRPr="00396C7C">
        <w:t>Kōkiri</w:t>
      </w:r>
      <w:proofErr w:type="spellEnd"/>
      <w:r w:rsidRPr="00396C7C">
        <w:t>.</w:t>
      </w:r>
    </w:p>
    <w:p w14:paraId="19DAEC1E" w14:textId="1283683E" w:rsidR="002C5981" w:rsidRPr="00396C7C" w:rsidRDefault="002C5981" w:rsidP="00C6296D">
      <w:pPr>
        <w:pStyle w:val="ListParagraph"/>
        <w:numPr>
          <w:ilvl w:val="0"/>
          <w:numId w:val="1"/>
        </w:numPr>
      </w:pPr>
      <w:proofErr w:type="spellStart"/>
      <w:r w:rsidRPr="00C6296D">
        <w:rPr>
          <w:b/>
          <w:bCs/>
        </w:rPr>
        <w:t>Te</w:t>
      </w:r>
      <w:proofErr w:type="spellEnd"/>
      <w:r w:rsidRPr="00C6296D">
        <w:rPr>
          <w:b/>
          <w:bCs/>
        </w:rPr>
        <w:t xml:space="preserve"> Whatu Ora Health New Zealand areas: </w:t>
      </w:r>
      <w:r w:rsidRPr="00396C7C">
        <w:t>four</w:t>
      </w:r>
      <w:r w:rsidRPr="00C6296D">
        <w:rPr>
          <w:b/>
          <w:bCs/>
        </w:rPr>
        <w:t xml:space="preserve"> </w:t>
      </w:r>
      <w:r w:rsidRPr="00396C7C">
        <w:t>regions and 18 districts for healthcare planning, as applicable in July 2022. Districts are amalgamated from District Health Board (DHB) definitions dated 2015</w:t>
      </w:r>
      <w:r>
        <w:t xml:space="preserve">. </w:t>
      </w:r>
    </w:p>
    <w:p w14:paraId="11E317A9" w14:textId="7B695FD1" w:rsidR="002C5981" w:rsidRPr="00396C7C" w:rsidRDefault="002C5981" w:rsidP="00C6296D">
      <w:pPr>
        <w:pStyle w:val="ListParagraph"/>
        <w:numPr>
          <w:ilvl w:val="0"/>
          <w:numId w:val="1"/>
        </w:numPr>
      </w:pPr>
      <w:r w:rsidRPr="00C6296D">
        <w:rPr>
          <w:b/>
          <w:bCs/>
        </w:rPr>
        <w:t>Geographic Classification for Health (GCH)</w:t>
      </w:r>
      <w:r w:rsidRPr="00396C7C">
        <w:t>: a classification of two urban and three rural categories, based on population size and drive-time to urban areas</w:t>
      </w:r>
      <w:r>
        <w:rPr>
          <w:rStyle w:val="FootnoteReference"/>
          <w:rFonts w:eastAsia="Calibri" w:cs="Times New Roman"/>
          <w:kern w:val="0"/>
          <w14:ligatures w14:val="none"/>
        </w:rPr>
        <w:footnoteReference w:id="12"/>
      </w:r>
      <w:r w:rsidRPr="00396C7C">
        <w:t xml:space="preserve">. </w:t>
      </w:r>
    </w:p>
    <w:p w14:paraId="5943CFF2" w14:textId="77777777" w:rsidR="002C5981" w:rsidRPr="00396C7C" w:rsidRDefault="002C5981" w:rsidP="00C6296D">
      <w:pPr>
        <w:pStyle w:val="ListParagraph"/>
        <w:numPr>
          <w:ilvl w:val="0"/>
          <w:numId w:val="1"/>
        </w:numPr>
      </w:pPr>
      <w:r w:rsidRPr="00C6296D">
        <w:rPr>
          <w:b/>
          <w:bCs/>
        </w:rPr>
        <w:t xml:space="preserve">Department of Conservation (DOC) areas: </w:t>
      </w:r>
      <w:r w:rsidRPr="00396C7C">
        <w:t xml:space="preserve">DOC Operations Districts and Regions; DOC National Parks, Reserves and Conservation Lands (&gt;10,000 ha); and DOC Ecological Districts. </w:t>
      </w:r>
    </w:p>
    <w:p w14:paraId="198D6E0D" w14:textId="6F8A7850" w:rsidR="002C5981" w:rsidRPr="00396C7C" w:rsidRDefault="002C5981" w:rsidP="00C6296D">
      <w:pPr>
        <w:pStyle w:val="ListParagraph"/>
        <w:numPr>
          <w:ilvl w:val="0"/>
          <w:numId w:val="1"/>
        </w:numPr>
      </w:pPr>
      <w:r w:rsidRPr="00C6296D">
        <w:rPr>
          <w:b/>
          <w:bCs/>
        </w:rPr>
        <w:t>Kea Habitat</w:t>
      </w:r>
      <w:r w:rsidRPr="00396C7C">
        <w:t>:</w:t>
      </w:r>
      <w:r w:rsidRPr="00C6296D">
        <w:rPr>
          <w:b/>
          <w:bCs/>
        </w:rPr>
        <w:t xml:space="preserve"> </w:t>
      </w:r>
      <w:r w:rsidRPr="00396C7C">
        <w:t xml:space="preserve">an indicator from DOC of where kea may be present, based on New Zealand Bird Atlas data and other records. </w:t>
      </w:r>
    </w:p>
    <w:p w14:paraId="463FD018" w14:textId="77777777" w:rsidR="002C5981" w:rsidRPr="00396C7C" w:rsidRDefault="002C5981" w:rsidP="00C6296D">
      <w:pPr>
        <w:pStyle w:val="ListParagraph"/>
        <w:numPr>
          <w:ilvl w:val="0"/>
          <w:numId w:val="1"/>
        </w:numPr>
      </w:pPr>
      <w:r w:rsidRPr="00C6296D">
        <w:rPr>
          <w:b/>
          <w:bCs/>
        </w:rPr>
        <w:t xml:space="preserve">Fire and Emergency NZ (FENZ) areas: </w:t>
      </w:r>
      <w:r w:rsidRPr="00396C7C">
        <w:t>regions, climate zones, and grass-curing areas.</w:t>
      </w:r>
    </w:p>
    <w:p w14:paraId="42B13A2E" w14:textId="1FEE7881" w:rsidR="00396C7C" w:rsidRPr="00396C7C" w:rsidRDefault="00396C7C" w:rsidP="00C6296D">
      <w:pPr>
        <w:pStyle w:val="ListParagraph"/>
        <w:numPr>
          <w:ilvl w:val="0"/>
          <w:numId w:val="1"/>
        </w:numPr>
      </w:pPr>
      <w:r w:rsidRPr="00C6296D">
        <w:rPr>
          <w:b/>
          <w:bCs/>
        </w:rPr>
        <w:t>NIWA climate zones</w:t>
      </w:r>
      <w:r w:rsidR="002C5981" w:rsidRPr="00C6296D">
        <w:rPr>
          <w:b/>
          <w:bCs/>
        </w:rPr>
        <w:t xml:space="preserve">: </w:t>
      </w:r>
      <w:r w:rsidRPr="00396C7C">
        <w:t>six zones</w:t>
      </w:r>
      <w:r w:rsidR="002C5981">
        <w:rPr>
          <w:rStyle w:val="FootnoteReference"/>
          <w:rFonts w:eastAsia="Calibri" w:cs="Times New Roman"/>
          <w:kern w:val="0"/>
          <w14:ligatures w14:val="none"/>
        </w:rPr>
        <w:footnoteReference w:id="13"/>
      </w:r>
      <w:r w:rsidRPr="00396C7C">
        <w:t>, excluding the Chatham Islands.</w:t>
      </w:r>
      <w:r w:rsidR="002C5981">
        <w:t xml:space="preserve"> </w:t>
      </w:r>
      <w:r w:rsidR="002C5981" w:rsidRPr="00396C7C">
        <w:t>NIWA use these zones for regular reporting,  a climate adaptation toolbox, and climate risk assessment</w:t>
      </w:r>
      <w:r w:rsidR="002C5981">
        <w:rPr>
          <w:rStyle w:val="FootnoteReference"/>
          <w:rFonts w:eastAsia="Calibri" w:cs="Times New Roman"/>
          <w:kern w:val="0"/>
          <w14:ligatures w14:val="none"/>
        </w:rPr>
        <w:footnoteReference w:id="14"/>
      </w:r>
      <w:r w:rsidR="002C5981">
        <w:t>.</w:t>
      </w:r>
    </w:p>
    <w:p w14:paraId="419F23C3" w14:textId="1E7AFEB7" w:rsidR="002C7AA2" w:rsidRPr="00396C7C" w:rsidRDefault="002C7AA2" w:rsidP="002C7AA2">
      <w:pPr>
        <w:pStyle w:val="ListParagraph"/>
        <w:numPr>
          <w:ilvl w:val="0"/>
          <w:numId w:val="1"/>
        </w:numPr>
      </w:pPr>
      <w:r>
        <w:rPr>
          <w:b/>
          <w:bCs/>
        </w:rPr>
        <w:t>Rainfall Response Areas:</w:t>
      </w:r>
      <w:r>
        <w:t xml:space="preserve"> </w:t>
      </w:r>
      <w:r w:rsidR="00E47078">
        <w:t>23 areas across New Zealand used for climate research.</w:t>
      </w:r>
    </w:p>
    <w:p w14:paraId="2F004846" w14:textId="77777777" w:rsidR="002C5981" w:rsidRDefault="002C5981" w:rsidP="00C6296D">
      <w:pPr>
        <w:pStyle w:val="ListParagraph"/>
        <w:numPr>
          <w:ilvl w:val="0"/>
          <w:numId w:val="1"/>
        </w:numPr>
      </w:pPr>
      <w:r w:rsidRPr="00C6296D">
        <w:rPr>
          <w:b/>
          <w:bCs/>
        </w:rPr>
        <w:t xml:space="preserve">Altitude groups: </w:t>
      </w:r>
      <w:r w:rsidRPr="00396C7C">
        <w:t>six altitude groups, defined as</w:t>
      </w:r>
      <w:r w:rsidRPr="00C6296D">
        <w:rPr>
          <w:b/>
          <w:bCs/>
        </w:rPr>
        <w:t xml:space="preserve"> </w:t>
      </w:r>
      <w:r w:rsidRPr="00396C7C">
        <w:t xml:space="preserve">Below 160m, 160-300m, 300-600m, 600-900m, 900m-1200m, and Above 1200m. Derived from </w:t>
      </w:r>
      <w:proofErr w:type="spellStart"/>
      <w:r w:rsidRPr="00396C7C">
        <w:t>Toitū</w:t>
      </w:r>
      <w:proofErr w:type="spellEnd"/>
      <w:r w:rsidRPr="00396C7C">
        <w:t xml:space="preserve"> </w:t>
      </w:r>
      <w:proofErr w:type="spellStart"/>
      <w:r w:rsidRPr="00396C7C">
        <w:t>Te</w:t>
      </w:r>
      <w:proofErr w:type="spellEnd"/>
      <w:r w:rsidRPr="00396C7C">
        <w:t xml:space="preserve"> Whenua |Land Information New Zealand (LINZ) files of contours used in the 1:500k topographical series. </w:t>
      </w:r>
    </w:p>
    <w:p w14:paraId="03038456" w14:textId="77777777" w:rsidR="002C5981" w:rsidRPr="00396C7C" w:rsidRDefault="002C5981" w:rsidP="00C6296D"/>
    <w:p w14:paraId="3EAE7F5F" w14:textId="77777777" w:rsidR="00396C7C" w:rsidRPr="00396C7C" w:rsidRDefault="00396C7C" w:rsidP="00C6296D"/>
    <w:p w14:paraId="2ABF95E2" w14:textId="2A37664B" w:rsidR="002C5981" w:rsidRDefault="005C4D26" w:rsidP="00C6296D">
      <w:r>
        <w:t xml:space="preserve">The technique works on any polygon that can be </w:t>
      </w:r>
      <w:r w:rsidR="00F005B7" w:rsidRPr="00396C7C">
        <w:t xml:space="preserve">digitised and processed in </w:t>
      </w:r>
      <w:r>
        <w:t>GIS software.</w:t>
      </w:r>
      <w:r w:rsidR="002C5981">
        <w:t xml:space="preserve"> </w:t>
      </w:r>
      <w:r w:rsidR="002C5981" w:rsidRPr="00396C7C">
        <w:t xml:space="preserve">Effectively, the </w:t>
      </w:r>
      <w:r w:rsidR="002C5981">
        <w:t>climate</w:t>
      </w:r>
      <w:r w:rsidR="002C5981" w:rsidRPr="00396C7C">
        <w:t xml:space="preserve"> </w:t>
      </w:r>
      <w:r w:rsidR="002C5981">
        <w:t xml:space="preserve">indicators </w:t>
      </w:r>
      <w:r w:rsidR="002C5981" w:rsidRPr="00396C7C">
        <w:t xml:space="preserve">for each spatial definition </w:t>
      </w:r>
      <w:r w:rsidR="002C5981">
        <w:t>are</w:t>
      </w:r>
      <w:r w:rsidR="002C5981" w:rsidRPr="00396C7C">
        <w:t xml:space="preserve"> the simple arithmetic average of the </w:t>
      </w:r>
      <w:r w:rsidR="002C5981">
        <w:t>climate indicators</w:t>
      </w:r>
      <w:r w:rsidR="002C5981" w:rsidRPr="00396C7C">
        <w:t xml:space="preserve"> for the “lassoed” agents.</w:t>
      </w:r>
    </w:p>
    <w:p w14:paraId="74617A13" w14:textId="77777777" w:rsidR="006A0B76" w:rsidRDefault="006A0B76" w:rsidP="00C6296D"/>
    <w:p w14:paraId="6D7C5DBB" w14:textId="39A06A37" w:rsidR="006A0B76" w:rsidRDefault="006A0B76" w:rsidP="00C6296D">
      <w:r>
        <w:t>The only limitation is whether the roughly 5km grid has enough points for meaningful climate. In Figure 1, the SA2 areas are also shown as light grey lines. In rural areas, an SA2 captures climate meaningfully, but in a</w:t>
      </w:r>
      <w:r w:rsidR="00F005B7">
        <w:t xml:space="preserve"> city </w:t>
      </w:r>
      <w:r>
        <w:t xml:space="preserve">area like Christchurch, many SA2s are too small to capture any grid-point and so another technique is needed. </w:t>
      </w:r>
    </w:p>
    <w:p w14:paraId="61619761" w14:textId="77777777" w:rsidR="00C30D86" w:rsidRDefault="00C30D86" w:rsidP="00C6296D"/>
    <w:p w14:paraId="40238D3E" w14:textId="77777777" w:rsidR="00C30D86" w:rsidRDefault="00C30D86" w:rsidP="00C6296D"/>
    <w:p w14:paraId="0A649831" w14:textId="3E03107C" w:rsidR="00C30D86" w:rsidRPr="00396C7C" w:rsidRDefault="00C30D86" w:rsidP="00C6296D">
      <w:pPr>
        <w:pStyle w:val="Heading1"/>
      </w:pPr>
      <w:r w:rsidRPr="00396C7C">
        <w:t>Spatial Amalgamations</w:t>
      </w:r>
      <w:r>
        <w:t xml:space="preserve"> </w:t>
      </w:r>
      <w:r w:rsidR="001C5C46">
        <w:t>to use with Socio-Economic Data</w:t>
      </w:r>
    </w:p>
    <w:p w14:paraId="33B105A8" w14:textId="27FE9660" w:rsidR="00396C7C" w:rsidRDefault="00396C7C" w:rsidP="00C6296D"/>
    <w:p w14:paraId="3DDF0678" w14:textId="7ABC722E" w:rsidR="00396C7C" w:rsidRPr="00396C7C" w:rsidRDefault="00C30D86" w:rsidP="00C6296D">
      <w:pPr>
        <w:rPr>
          <w:rFonts w:eastAsia="Calibri" w:cs="Times New Roman"/>
          <w:kern w:val="0"/>
          <w14:ligatures w14:val="none"/>
        </w:rPr>
      </w:pPr>
      <w:r>
        <w:t xml:space="preserve">A problem arises when we want to determine climate for a small area, to link to vulnerability data for the same geographic area. </w:t>
      </w:r>
      <w:r w:rsidR="00396C7C" w:rsidRPr="00396C7C">
        <w:rPr>
          <w:rFonts w:eastAsia="Calibri" w:cs="Times New Roman"/>
          <w:kern w:val="0"/>
          <w14:ligatures w14:val="none"/>
        </w:rPr>
        <w:t xml:space="preserve">The choice of the scale at which to link people and climate </w:t>
      </w:r>
      <w:r>
        <w:rPr>
          <w:rFonts w:eastAsia="Calibri" w:cs="Times New Roman"/>
          <w:kern w:val="0"/>
          <w14:ligatures w14:val="none"/>
        </w:rPr>
        <w:t>is</w:t>
      </w:r>
      <w:r w:rsidR="00396C7C" w:rsidRPr="00396C7C">
        <w:rPr>
          <w:rFonts w:eastAsia="Calibri" w:cs="Times New Roman"/>
          <w:kern w:val="0"/>
          <w14:ligatures w14:val="none"/>
        </w:rPr>
        <w:t xml:space="preserve"> informed by other studies in New Zealand, and the scale at which socio-economic data is readily available. </w:t>
      </w:r>
    </w:p>
    <w:p w14:paraId="0355BC22" w14:textId="77777777" w:rsidR="00E47078" w:rsidRDefault="00E47078" w:rsidP="00C6296D"/>
    <w:p w14:paraId="3C424479" w14:textId="42BA6231" w:rsidR="00396C7C" w:rsidRPr="00396C7C" w:rsidRDefault="00D817C1" w:rsidP="00C6296D">
      <w:r>
        <w:t xml:space="preserve">The </w:t>
      </w:r>
      <w:proofErr w:type="spellStart"/>
      <w:r w:rsidRPr="001C5C46">
        <w:rPr>
          <w:b/>
          <w:bCs/>
        </w:rPr>
        <w:t>NZDep</w:t>
      </w:r>
      <w:proofErr w:type="spellEnd"/>
      <w:r w:rsidRPr="001C5C46">
        <w:rPr>
          <w:b/>
          <w:bCs/>
        </w:rPr>
        <w:t xml:space="preserve"> Index of Socioeconomic Deprivation</w:t>
      </w:r>
      <w:r>
        <w:t xml:space="preserve"> is produced by the University of Otago</w:t>
      </w:r>
      <w:r>
        <w:rPr>
          <w:rStyle w:val="FootnoteReference"/>
          <w:rFonts w:eastAsia="Calibri" w:cs="Times New Roman"/>
          <w:kern w:val="0"/>
          <w14:ligatures w14:val="none"/>
        </w:rPr>
        <w:footnoteReference w:id="15"/>
      </w:r>
      <w:r>
        <w:t xml:space="preserve">. </w:t>
      </w:r>
      <w:proofErr w:type="spellStart"/>
      <w:r w:rsidR="00396C7C" w:rsidRPr="00396C7C">
        <w:t>NZDep</w:t>
      </w:r>
      <w:proofErr w:type="spellEnd"/>
      <w:r w:rsidR="00396C7C" w:rsidRPr="00396C7C">
        <w:t xml:space="preserve"> is an index of relative deprivation over successive waves of Census data from 1991 onwards</w:t>
      </w:r>
      <w:r w:rsidR="00D912B5">
        <w:rPr>
          <w:rStyle w:val="FootnoteReference"/>
          <w:rFonts w:eastAsia="Calibri" w:cs="Times New Roman"/>
          <w:kern w:val="0"/>
          <w14:ligatures w14:val="none"/>
        </w:rPr>
        <w:footnoteReference w:id="16"/>
      </w:r>
      <w:r w:rsidR="00396C7C" w:rsidRPr="00396C7C">
        <w:t xml:space="preserve">. Scores are produced for each </w:t>
      </w:r>
      <w:proofErr w:type="spellStart"/>
      <w:r w:rsidR="00396C7C" w:rsidRPr="00396C7C">
        <w:t>meshblock</w:t>
      </w:r>
      <w:proofErr w:type="spellEnd"/>
      <w:r w:rsidR="00396C7C" w:rsidRPr="00396C7C">
        <w:t>, then amalgamated for SA1, SA2, and higher Stats NZ geographies</w:t>
      </w:r>
      <w:r w:rsidR="00D912B5">
        <w:rPr>
          <w:rStyle w:val="FootnoteReference"/>
          <w:rFonts w:eastAsia="Calibri" w:cs="Times New Roman"/>
          <w:kern w:val="0"/>
          <w14:ligatures w14:val="none"/>
        </w:rPr>
        <w:footnoteReference w:id="17"/>
      </w:r>
      <w:r w:rsidR="00D912B5">
        <w:t xml:space="preserve">. </w:t>
      </w:r>
      <w:proofErr w:type="spellStart"/>
      <w:r>
        <w:t>NZDep</w:t>
      </w:r>
      <w:proofErr w:type="spellEnd"/>
      <w:r>
        <w:t xml:space="preserve"> is widely used in healthcare research and has applications for vulnerability for climate adaptation work.</w:t>
      </w:r>
    </w:p>
    <w:p w14:paraId="050D2A34" w14:textId="77777777" w:rsidR="00396C7C" w:rsidRPr="00396C7C" w:rsidRDefault="00396C7C" w:rsidP="00C6296D"/>
    <w:p w14:paraId="6518AFA8" w14:textId="1B731586" w:rsidR="00396C7C" w:rsidRPr="00396C7C" w:rsidRDefault="00396C7C" w:rsidP="00C6296D">
      <w:r w:rsidRPr="00396C7C">
        <w:t xml:space="preserve">Environmental Health Intelligence New Zealand (EHINZ) </w:t>
      </w:r>
      <w:r w:rsidR="001C5C46">
        <w:t xml:space="preserve">at Massey University </w:t>
      </w:r>
      <w:r w:rsidRPr="00396C7C">
        <w:t xml:space="preserve">developed </w:t>
      </w:r>
      <w:r w:rsidR="001C5C46">
        <w:t xml:space="preserve">the </w:t>
      </w:r>
      <w:r w:rsidR="001C5C46" w:rsidRPr="001C5C46">
        <w:rPr>
          <w:b/>
          <w:bCs/>
        </w:rPr>
        <w:t>EHINZ</w:t>
      </w:r>
      <w:r w:rsidRPr="00396C7C">
        <w:rPr>
          <w:b/>
          <w:bCs/>
        </w:rPr>
        <w:t xml:space="preserve"> Social Vulnerability Indicators</w:t>
      </w:r>
      <w:r w:rsidR="001C5C46" w:rsidRPr="001C5C46">
        <w:t>. These were initially developed</w:t>
      </w:r>
      <w:r w:rsidRPr="00396C7C">
        <w:t xml:space="preserve"> for flooding risk</w:t>
      </w:r>
      <w:r w:rsidR="00D817C1">
        <w:rPr>
          <w:rStyle w:val="FootnoteReference"/>
          <w:rFonts w:eastAsia="Calibri" w:cs="Times New Roman"/>
          <w:kern w:val="0"/>
          <w14:ligatures w14:val="none"/>
        </w:rPr>
        <w:footnoteReference w:id="18"/>
      </w:r>
      <w:r w:rsidR="00D817C1">
        <w:t xml:space="preserve"> </w:t>
      </w:r>
      <w:r w:rsidR="001C5C46">
        <w:t>and then</w:t>
      </w:r>
      <w:r w:rsidR="00D817C1">
        <w:t xml:space="preserve"> extended to climate change</w:t>
      </w:r>
      <w:r w:rsidR="008778A3">
        <w:rPr>
          <w:rStyle w:val="FootnoteReference"/>
          <w:rFonts w:eastAsia="Calibri" w:cs="Times New Roman"/>
          <w:kern w:val="0"/>
          <w14:ligatures w14:val="none"/>
        </w:rPr>
        <w:footnoteReference w:id="19"/>
      </w:r>
      <w:r w:rsidRPr="00396C7C">
        <w:t xml:space="preserve">. The indicators were </w:t>
      </w:r>
      <w:r w:rsidR="004D1EED">
        <w:t xml:space="preserve">initially </w:t>
      </w:r>
      <w:r w:rsidRPr="00396C7C">
        <w:t xml:space="preserve">largely constructed using data from Census 2013 and NZDep2013, </w:t>
      </w:r>
      <w:r w:rsidR="008778A3">
        <w:t xml:space="preserve"> and later </w:t>
      </w:r>
      <w:r w:rsidRPr="00396C7C">
        <w:t xml:space="preserve">Census 2018 and NZDep2018, with SA2 areas as the base unit, </w:t>
      </w:r>
      <w:r w:rsidR="001C5C46">
        <w:t>and</w:t>
      </w:r>
      <w:r w:rsidRPr="00396C7C">
        <w:t xml:space="preserve"> aggregations to higher geographies.</w:t>
      </w:r>
      <w:r w:rsidR="008778A3">
        <w:t xml:space="preserve"> EHINZ has released an updated set of indicators using Census 2023 and using a range of Stats NZ geographies</w:t>
      </w:r>
      <w:r w:rsidR="008778A3">
        <w:rPr>
          <w:rStyle w:val="FootnoteReference"/>
          <w:rFonts w:eastAsia="Calibri" w:cs="Times New Roman"/>
          <w:kern w:val="0"/>
          <w14:ligatures w14:val="none"/>
        </w:rPr>
        <w:footnoteReference w:id="20"/>
      </w:r>
      <w:r w:rsidR="008778A3">
        <w:t>.</w:t>
      </w:r>
    </w:p>
    <w:p w14:paraId="7F17A4A8" w14:textId="77777777" w:rsidR="00396C7C" w:rsidRPr="00396C7C" w:rsidRDefault="00396C7C" w:rsidP="00C6296D"/>
    <w:p w14:paraId="7F79686F" w14:textId="1F536FD6" w:rsidR="00396C7C" w:rsidRPr="00396C7C" w:rsidRDefault="001C5C46" w:rsidP="00C6296D">
      <w:r>
        <w:t xml:space="preserve">The aggregations of the climate projections by the Ministry for the Environment </w:t>
      </w:r>
      <w:r w:rsidR="0002258D">
        <w:t>are</w:t>
      </w:r>
      <w:r>
        <w:t xml:space="preserve"> informed by the resolutions used for these measures of vulnerability </w:t>
      </w:r>
      <w:r w:rsidR="0002258D">
        <w:t xml:space="preserve">and resilience </w:t>
      </w:r>
      <w:r>
        <w:t xml:space="preserve">to climate change. This means that climate and vulnerability can be compared at the same geographic resolution. </w:t>
      </w:r>
    </w:p>
    <w:p w14:paraId="6FA874DD" w14:textId="77777777" w:rsidR="00396C7C" w:rsidRPr="00396C7C" w:rsidRDefault="00396C7C" w:rsidP="00C6296D"/>
    <w:p w14:paraId="2C983CF2" w14:textId="77777777" w:rsidR="00396C7C" w:rsidRPr="00396C7C" w:rsidRDefault="00396C7C" w:rsidP="00C6296D"/>
    <w:p w14:paraId="394F27E2" w14:textId="54E764C1" w:rsidR="00396C7C" w:rsidRPr="00396C7C" w:rsidRDefault="00396C7C" w:rsidP="00C6296D"/>
    <w:p w14:paraId="062B4B4E" w14:textId="77777777" w:rsidR="004D1EED" w:rsidRDefault="004D1EED">
      <w:pPr>
        <w:spacing w:after="160" w:line="259" w:lineRule="auto"/>
        <w:rPr>
          <w:rFonts w:eastAsia="Calibri" w:cs="Times New Roman"/>
          <w:b/>
          <w:kern w:val="0"/>
          <w:sz w:val="24"/>
          <w14:ligatures w14:val="none"/>
        </w:rPr>
      </w:pPr>
      <w:bookmarkStart w:id="0" w:name="_Ref118961558"/>
      <w:bookmarkStart w:id="1" w:name="_Toc119233569"/>
      <w:r>
        <w:br w:type="page"/>
      </w:r>
    </w:p>
    <w:p w14:paraId="3B7FBF06" w14:textId="290D816F" w:rsidR="001C5C46" w:rsidRDefault="001C5C46" w:rsidP="00C6296D">
      <w:pPr>
        <w:pStyle w:val="Heading1"/>
      </w:pPr>
      <w:r w:rsidRPr="00396C7C">
        <w:t>Spatial Amalgamations</w:t>
      </w:r>
      <w:r>
        <w:t xml:space="preserve"> using the Thiessen Method</w:t>
      </w:r>
    </w:p>
    <w:p w14:paraId="0DC19A29" w14:textId="3FE64237" w:rsidR="00D62E6D" w:rsidRPr="00FF5E08" w:rsidRDefault="00D62E6D" w:rsidP="00C6296D"/>
    <w:p w14:paraId="5CE5C522" w14:textId="1D4F2DE7" w:rsidR="00D62E6D" w:rsidRPr="00FF5E08" w:rsidRDefault="00D62E6D" w:rsidP="00C6296D">
      <w:r w:rsidRPr="00FF5E08">
        <w:t>The problem of climate for small areas was considered and resolved by McLeod and Renwick</w:t>
      </w:r>
      <w:r w:rsidRPr="00FF5E08">
        <w:rPr>
          <w:vertAlign w:val="superscript"/>
        </w:rPr>
        <w:footnoteReference w:id="21"/>
      </w:r>
      <w:r w:rsidRPr="00FF5E08">
        <w:t xml:space="preserve">, and their peer-reviewed </w:t>
      </w:r>
      <w:r w:rsidR="0002258D">
        <w:t xml:space="preserve">and published </w:t>
      </w:r>
      <w:r w:rsidRPr="00FF5E08">
        <w:t xml:space="preserve">method has been adopted by the Ministry for the Environment. </w:t>
      </w:r>
    </w:p>
    <w:p w14:paraId="58501990" w14:textId="7AC433B8" w:rsidR="00D62E6D" w:rsidRPr="00FF5E08" w:rsidRDefault="00D62E6D" w:rsidP="00C6296D"/>
    <w:p w14:paraId="3CA2C95C" w14:textId="49FC4D0B" w:rsidR="00D62E6D" w:rsidRPr="00396C7C" w:rsidRDefault="0002258D" w:rsidP="00C6296D">
      <w:r>
        <w:t>When i</w:t>
      </w:r>
      <w:r w:rsidR="00D62E6D" w:rsidRPr="00396C7C">
        <w:t xml:space="preserve">nvestigating </w:t>
      </w:r>
      <w:r w:rsidR="00D62E6D">
        <w:t>ways of interpolating climate</w:t>
      </w:r>
      <w:r>
        <w:t>, the researchers</w:t>
      </w:r>
      <w:r w:rsidR="00D62E6D" w:rsidRPr="00396C7C">
        <w:t xml:space="preserve"> use</w:t>
      </w:r>
      <w:r>
        <w:t>d</w:t>
      </w:r>
      <w:r w:rsidR="00D62E6D" w:rsidRPr="00396C7C">
        <w:t xml:space="preserve"> </w:t>
      </w:r>
      <w:r w:rsidR="00D62E6D">
        <w:t xml:space="preserve">what are called </w:t>
      </w:r>
      <w:r w:rsidR="00D62E6D" w:rsidRPr="00396C7C">
        <w:t>Thiessen polygons</w:t>
      </w:r>
      <w:r w:rsidR="00D62E6D">
        <w:rPr>
          <w:rStyle w:val="FootnoteReference"/>
          <w:rFonts w:eastAsia="Calibri" w:cs="Times New Roman"/>
          <w:kern w:val="0"/>
          <w14:ligatures w14:val="none"/>
        </w:rPr>
        <w:footnoteReference w:id="22"/>
      </w:r>
      <w:r>
        <w:t xml:space="preserve">. These are constructed </w:t>
      </w:r>
      <w:r w:rsidR="00D62E6D" w:rsidRPr="00396C7C">
        <w:t xml:space="preserve">around </w:t>
      </w:r>
      <w:r w:rsidRPr="00396C7C">
        <w:rPr>
          <w:lang w:val="en-US"/>
        </w:rPr>
        <w:t>each VCSN grid-point so that any location within the polygon is closer to that point than any other point.</w:t>
      </w:r>
      <w:r>
        <w:rPr>
          <w:lang w:val="en-US"/>
        </w:rPr>
        <w:t xml:space="preserve"> </w:t>
      </w:r>
      <w:r>
        <w:t>These</w:t>
      </w:r>
      <w:r w:rsidR="00D62E6D" w:rsidRPr="00396C7C">
        <w:t xml:space="preserve"> </w:t>
      </w:r>
      <w:r>
        <w:t xml:space="preserve">Thiessen polygons </w:t>
      </w:r>
      <w:r w:rsidR="00D62E6D" w:rsidRPr="00396C7C">
        <w:t xml:space="preserve">were found to be a useful way to confirm regions of influence for grid-points </w:t>
      </w:r>
      <w:r w:rsidR="00FD7B03">
        <w:t xml:space="preserve">in </w:t>
      </w:r>
      <w:r>
        <w:t>Arc</w:t>
      </w:r>
      <w:r w:rsidR="00FD7B03">
        <w:t>GIS</w:t>
      </w:r>
      <w:r w:rsidR="00D62E6D" w:rsidRPr="00396C7C">
        <w:t xml:space="preserve">. </w:t>
      </w:r>
    </w:p>
    <w:p w14:paraId="4C139454" w14:textId="30BED93B" w:rsidR="00D62E6D" w:rsidRPr="00396C7C" w:rsidRDefault="00D62E6D" w:rsidP="00C6296D"/>
    <w:p w14:paraId="56250B14" w14:textId="77777777" w:rsidR="004D1EED" w:rsidRDefault="00FD7B03" w:rsidP="00C6296D">
      <w:r w:rsidRPr="00FF5E08">
        <w:t xml:space="preserve">The NIWA </w:t>
      </w:r>
      <w:r w:rsidR="00396C7C" w:rsidRPr="00396C7C">
        <w:t xml:space="preserve">VCSN grid is clipped to the coastline and the long coastline of New Zealand is a complicating factor. When Thiessen polygons are constructed around the 11,491 VCSN grid points it is found that 1,281 of the polygons (11.1%) have a join to the coast. This </w:t>
      </w:r>
      <w:r w:rsidRPr="00FF5E08">
        <w:t>produces some</w:t>
      </w:r>
      <w:r w:rsidR="00396C7C" w:rsidRPr="00396C7C">
        <w:t xml:space="preserve"> long and complicated shapes that </w:t>
      </w:r>
      <w:r w:rsidRPr="00FF5E08">
        <w:t>can</w:t>
      </w:r>
      <w:r w:rsidR="00396C7C" w:rsidRPr="00396C7C">
        <w:t xml:space="preserve"> stretch hundreds of kilometres offshore</w:t>
      </w:r>
      <w:r w:rsidRPr="00FF5E08">
        <w:t xml:space="preserve">. </w:t>
      </w:r>
    </w:p>
    <w:p w14:paraId="7A9C5CB8" w14:textId="77777777" w:rsidR="004D1EED" w:rsidRDefault="004D1EED" w:rsidP="00C6296D"/>
    <w:p w14:paraId="21FEAFC0" w14:textId="77777777" w:rsidR="004D1EED" w:rsidRDefault="00FD7B03" w:rsidP="004D1EED">
      <w:r w:rsidRPr="00FF5E08">
        <w:t>The Theissen polygons are</w:t>
      </w:r>
      <w:r w:rsidR="00396C7C" w:rsidRPr="00396C7C">
        <w:t xml:space="preserve"> </w:t>
      </w:r>
      <w:bookmarkEnd w:id="0"/>
      <w:bookmarkEnd w:id="1"/>
      <w:r w:rsidRPr="00FF5E08">
        <w:t xml:space="preserve">illustrated </w:t>
      </w:r>
      <w:r w:rsidRPr="00396C7C">
        <w:t xml:space="preserve">for Gisborne </w:t>
      </w:r>
      <w:r w:rsidRPr="00FF5E08">
        <w:t>in Figure 2 as grey lines around the grey dots of the VCSN grid</w:t>
      </w:r>
      <w:r w:rsidR="00396C7C" w:rsidRPr="00396C7C">
        <w:t xml:space="preserve">. </w:t>
      </w:r>
      <w:r w:rsidR="004D1EED" w:rsidRPr="00396C7C">
        <w:t xml:space="preserve">The complex geometry of Thiessen polygons along the coast means that only one of the four polygons has a conventional square grid form. </w:t>
      </w:r>
    </w:p>
    <w:p w14:paraId="1F282266" w14:textId="3FD3B92E" w:rsidR="00396C7C" w:rsidRPr="00396C7C" w:rsidRDefault="00F3756B" w:rsidP="00C6296D">
      <w:pPr>
        <w:rPr>
          <w:rFonts w:eastAsia="Calibri" w:cs="Times New Roman"/>
          <w:kern w:val="0"/>
          <w14:ligatures w14:val="none"/>
        </w:rPr>
      </w:pPr>
      <w:r w:rsidRPr="00F3756B">
        <w:rPr>
          <w:noProof/>
        </w:rPr>
        <w:drawing>
          <wp:anchor distT="0" distB="0" distL="114300" distR="114300" simplePos="0" relativeHeight="251658241" behindDoc="0" locked="0" layoutInCell="1" allowOverlap="1" wp14:anchorId="44F46633" wp14:editId="16972F99">
            <wp:simplePos x="0" y="0"/>
            <wp:positionH relativeFrom="column">
              <wp:posOffset>457200</wp:posOffset>
            </wp:positionH>
            <wp:positionV relativeFrom="paragraph">
              <wp:posOffset>176530</wp:posOffset>
            </wp:positionV>
            <wp:extent cx="4531995" cy="4210050"/>
            <wp:effectExtent l="0" t="0" r="1905" b="0"/>
            <wp:wrapTopAndBottom/>
            <wp:docPr id="124267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2558" name=""/>
                    <pic:cNvPicPr/>
                  </pic:nvPicPr>
                  <pic:blipFill>
                    <a:blip r:embed="rId14">
                      <a:extLst>
                        <a:ext uri="{28A0092B-C50C-407E-A947-70E740481C1C}">
                          <a14:useLocalDpi xmlns:a14="http://schemas.microsoft.com/office/drawing/2010/main" val="0"/>
                        </a:ext>
                      </a:extLst>
                    </a:blip>
                    <a:stretch>
                      <a:fillRect/>
                    </a:stretch>
                  </pic:blipFill>
                  <pic:spPr>
                    <a:xfrm>
                      <a:off x="0" y="0"/>
                      <a:ext cx="4531995" cy="4210050"/>
                    </a:xfrm>
                    <a:prstGeom prst="rect">
                      <a:avLst/>
                    </a:prstGeom>
                  </pic:spPr>
                </pic:pic>
              </a:graphicData>
            </a:graphic>
            <wp14:sizeRelH relativeFrom="margin">
              <wp14:pctWidth>0</wp14:pctWidth>
            </wp14:sizeRelH>
            <wp14:sizeRelV relativeFrom="margin">
              <wp14:pctHeight>0</wp14:pctHeight>
            </wp14:sizeRelV>
          </wp:anchor>
        </w:drawing>
      </w:r>
    </w:p>
    <w:p w14:paraId="61BC5B40" w14:textId="25BA4E67" w:rsidR="00396C7C" w:rsidRPr="00396C7C" w:rsidRDefault="00396C7C" w:rsidP="00C6296D"/>
    <w:p w14:paraId="120588EF" w14:textId="0C3C62AB" w:rsidR="00396C7C" w:rsidRPr="00BB059C" w:rsidRDefault="00396C7C" w:rsidP="00BB059C">
      <w:pPr>
        <w:jc w:val="center"/>
        <w:rPr>
          <w:b/>
          <w:bCs/>
        </w:rPr>
      </w:pPr>
      <w:bookmarkStart w:id="2" w:name="_Ref117328249"/>
      <w:r w:rsidRPr="00BB059C">
        <w:rPr>
          <w:b/>
          <w:bCs/>
        </w:rPr>
        <w:t xml:space="preserve">Figure </w:t>
      </w:r>
      <w:bookmarkEnd w:id="2"/>
      <w:r w:rsidR="006E0BD0" w:rsidRPr="00BB059C">
        <w:rPr>
          <w:b/>
          <w:bCs/>
        </w:rPr>
        <w:t>2</w:t>
      </w:r>
      <w:r w:rsidRPr="00BB059C">
        <w:rPr>
          <w:b/>
          <w:bCs/>
        </w:rPr>
        <w:t>: Thiessen polygons and calculations for the Gisborne urban area</w:t>
      </w:r>
    </w:p>
    <w:p w14:paraId="7962F4C4" w14:textId="0884C4B6" w:rsidR="00396C7C" w:rsidRPr="00396C7C" w:rsidRDefault="00396C7C" w:rsidP="00C6296D"/>
    <w:p w14:paraId="51E147E3" w14:textId="090074C9" w:rsidR="00396C7C" w:rsidRPr="00396C7C" w:rsidRDefault="004D1EED" w:rsidP="00C6296D">
      <w:r>
        <w:t>The</w:t>
      </w:r>
      <w:r w:rsidR="00396C7C" w:rsidRPr="00396C7C">
        <w:t xml:space="preserve"> Gisborne</w:t>
      </w:r>
      <w:r>
        <w:t xml:space="preserve"> urban area does not lasso any grid-points, but </w:t>
      </w:r>
      <w:r w:rsidR="00396C7C" w:rsidRPr="00396C7C">
        <w:t xml:space="preserve">the Thiessen polygons clearly identify four grid-points that need to be in the solution. </w:t>
      </w:r>
      <w:r>
        <w:t xml:space="preserve">The </w:t>
      </w:r>
      <w:r w:rsidR="00396C7C" w:rsidRPr="00396C7C">
        <w:t xml:space="preserve">Thiessen polygons </w:t>
      </w:r>
      <w:r>
        <w:t xml:space="preserve">are used to determine </w:t>
      </w:r>
      <w:r w:rsidR="00396C7C" w:rsidRPr="00396C7C">
        <w:t>area weights</w:t>
      </w:r>
      <w:r w:rsidR="00F3756B">
        <w:t>:</w:t>
      </w:r>
      <w:r w:rsidR="00396C7C" w:rsidRPr="00396C7C">
        <w:t xml:space="preserve"> Thiessen polygons are drawn around each VCSN grid-point, with the weighting being the proportion of the urban area lying within each Thiessen polygon (the Thiessen pieces)</w:t>
      </w:r>
      <w:r w:rsidR="00FE585B">
        <w:rPr>
          <w:rStyle w:val="FootnoteReference"/>
          <w:rFonts w:eastAsia="Calibri" w:cs="Times New Roman"/>
          <w:bCs/>
          <w:kern w:val="0"/>
          <w14:ligatures w14:val="none"/>
        </w:rPr>
        <w:footnoteReference w:id="23"/>
      </w:r>
      <w:r w:rsidR="00396C7C" w:rsidRPr="00396C7C">
        <w:t xml:space="preserve">. The weighting for the lower right point for Gisborne </w:t>
      </w:r>
      <w:r w:rsidR="00F3756B">
        <w:t xml:space="preserve">thus </w:t>
      </w:r>
      <w:r w:rsidR="00396C7C" w:rsidRPr="00396C7C">
        <w:t>becomes 37.4%</w:t>
      </w:r>
      <w:r w:rsidR="00F3756B" w:rsidRPr="00F3756B">
        <w:t>. The total of the weights sums to one for any area.</w:t>
      </w:r>
    </w:p>
    <w:p w14:paraId="4A8FAF26" w14:textId="77777777" w:rsidR="00396C7C" w:rsidRPr="00396C7C" w:rsidRDefault="00396C7C" w:rsidP="00C6296D"/>
    <w:p w14:paraId="50B7C9D3" w14:textId="7793E39E" w:rsidR="00CB1027" w:rsidRDefault="00396C7C" w:rsidP="00C6296D">
      <w:r w:rsidRPr="00396C7C">
        <w:t xml:space="preserve">An advantage of the Thiessen method is that the weights only need to be determined </w:t>
      </w:r>
      <w:r w:rsidR="009B2776">
        <w:t>at the outset</w:t>
      </w:r>
      <w:r w:rsidR="00CB1027">
        <w:t xml:space="preserve"> and can be used across all the climate variables and time periods</w:t>
      </w:r>
      <w:r w:rsidR="00CB1027" w:rsidRPr="0005C9A1">
        <w:rPr>
          <w:rStyle w:val="FootnoteReference"/>
          <w:rFonts w:eastAsia="Calibri" w:cs="Times New Roman"/>
          <w:kern w:val="0"/>
          <w14:ligatures w14:val="none"/>
        </w:rPr>
        <w:footnoteReference w:id="24"/>
      </w:r>
      <w:r w:rsidR="00F3756B">
        <w:t>.</w:t>
      </w:r>
      <w:r w:rsidRPr="00396C7C">
        <w:t xml:space="preserve"> </w:t>
      </w:r>
      <w:r w:rsidR="00F3756B">
        <w:t>While the technique was derived using historical data, t</w:t>
      </w:r>
      <w:r w:rsidRPr="00396C7C">
        <w:t xml:space="preserve">he VCSN grid is also used for climate model projections </w:t>
      </w:r>
      <w:r w:rsidR="00F3756B">
        <w:t xml:space="preserve">and thus </w:t>
      </w:r>
      <w:r w:rsidRPr="00396C7C">
        <w:t xml:space="preserve">the same weights can be used for historical and projected results. </w:t>
      </w:r>
    </w:p>
    <w:p w14:paraId="1E1BF62B" w14:textId="77777777" w:rsidR="00CB1027" w:rsidRDefault="00CB1027" w:rsidP="00C6296D"/>
    <w:p w14:paraId="3BCAE9F1" w14:textId="3DBBDC0E" w:rsidR="00396C7C" w:rsidRDefault="00396C7C" w:rsidP="00C6296D">
      <w:r w:rsidRPr="00396C7C">
        <w:t xml:space="preserve">The weights </w:t>
      </w:r>
      <w:r w:rsidR="00F3756B">
        <w:t>need to</w:t>
      </w:r>
      <w:r w:rsidRPr="00396C7C">
        <w:t xml:space="preserve"> be redone when the geography changes and </w:t>
      </w:r>
      <w:r w:rsidR="00F3756B">
        <w:t>the weights have been revised using the geo</w:t>
      </w:r>
      <w:r w:rsidR="00E048D4">
        <w:t>gr</w:t>
      </w:r>
      <w:r w:rsidRPr="00396C7C">
        <w:t xml:space="preserve">aphies produced </w:t>
      </w:r>
      <w:r w:rsidR="00E048D4">
        <w:t xml:space="preserve">by Stats NZ </w:t>
      </w:r>
      <w:r w:rsidRPr="00396C7C">
        <w:t>for Census 2023</w:t>
      </w:r>
      <w:r w:rsidR="00CB1027" w:rsidRPr="0005C9A1">
        <w:rPr>
          <w:rStyle w:val="FootnoteReference"/>
          <w:rFonts w:eastAsia="Calibri" w:cs="Times New Roman"/>
          <w:kern w:val="0"/>
          <w14:ligatures w14:val="none"/>
        </w:rPr>
        <w:footnoteReference w:id="25"/>
      </w:r>
      <w:r w:rsidRPr="00396C7C">
        <w:fldChar w:fldCharType="begin"/>
      </w:r>
      <w:r w:rsidRPr="00396C7C">
        <w:instrText xml:space="preserve"> ADDIN EN.CITE &lt;EndNote&gt;&lt;Cite&gt;&lt;Author&gt;Stats NZ&lt;/Author&gt;&lt;Year&gt;2022&lt;/Year&gt;&lt;RecNum&gt;2002&lt;/RecNum&gt;&lt;DisplayText&gt;(Stats NZ, 2022)&lt;/DisplayText&gt;&lt;record&gt;&lt;rec-number&gt;2002&lt;/rec-number&gt;&lt;foreign-keys&gt;&lt;key app="EN" db-id="dww0efarqdpf28e90fox0zp6v5z5szvf9pdp" timestamp="1674782079"&gt;2002&lt;/key&gt;&lt;/foreign-keys&gt;&lt;ref-type name="Unpublished Work"&gt;34&lt;/ref-type&gt;&lt;contributors&gt;&lt;authors&gt;&lt;author&gt;Stats NZ,&lt;/author&gt;&lt;/authors&gt;&lt;/contributors&gt;&lt;titles&gt;&lt;title&gt;Statistical standard for geographic areas 2023&lt;/title&gt;&lt;/titles&gt;&lt;dates&gt;&lt;year&gt;2022&lt;/year&gt;&lt;/dates&gt;&lt;pub-location&gt;Wellington&lt;/pub-location&gt;&lt;publisher&gt;Statistics New Zealand&lt;/publisher&gt;&lt;urls&gt;&lt;related-urls&gt;&lt;url&gt;https://www.stats.govt.nz/methods/statistical-standard-for-geographic-areas-2023/&lt;/url&gt;&lt;/related-urls&gt;&lt;/urls&gt;&lt;/record&gt;&lt;/Cite&gt;&lt;/EndNote&gt;</w:instrText>
      </w:r>
      <w:r w:rsidRPr="00396C7C">
        <w:fldChar w:fldCharType="separate"/>
      </w:r>
      <w:r w:rsidRPr="00396C7C">
        <w:fldChar w:fldCharType="end"/>
      </w:r>
      <w:r w:rsidRPr="00396C7C">
        <w:t>.</w:t>
      </w:r>
    </w:p>
    <w:p w14:paraId="0217CD68" w14:textId="77777777" w:rsidR="008B4450" w:rsidRDefault="008B4450" w:rsidP="00C6296D"/>
    <w:p w14:paraId="500B7D5C" w14:textId="177AC4D2" w:rsidR="008B4450" w:rsidRPr="00396C7C" w:rsidRDefault="008B4450" w:rsidP="00C6296D">
      <w:r>
        <w:t>With the lasso method, the aggregation of climate is done using a straight mean. With the Thiessen method, the aggregation of the climate is done using a weighted mean</w:t>
      </w:r>
      <w:r>
        <w:rPr>
          <w:rStyle w:val="FootnoteReference"/>
          <w:rFonts w:eastAsia="Calibri" w:cs="Times New Roman"/>
          <w:bCs/>
          <w:kern w:val="0"/>
          <w14:ligatures w14:val="none"/>
        </w:rPr>
        <w:footnoteReference w:id="26"/>
      </w:r>
      <w:r>
        <w:t xml:space="preserve">. </w:t>
      </w:r>
      <w:r w:rsidRPr="00396C7C">
        <w:t xml:space="preserve">Results of the lasso method and Thiessen method </w:t>
      </w:r>
      <w:r>
        <w:t>have been</w:t>
      </w:r>
      <w:r w:rsidRPr="00396C7C">
        <w:t xml:space="preserve"> tested at SA2 level and aggregated levels (suburbs, urban areas, districts, and regions). The differences for larger areas are relatively small and, more importantly, the signal from the </w:t>
      </w:r>
      <w:r>
        <w:t>climate</w:t>
      </w:r>
      <w:r w:rsidRPr="00396C7C">
        <w:t xml:space="preserve"> is almost identical for the two methods. </w:t>
      </w:r>
    </w:p>
    <w:p w14:paraId="727D8828" w14:textId="77777777" w:rsidR="00396C7C" w:rsidRDefault="00396C7C" w:rsidP="00C6296D"/>
    <w:p w14:paraId="2E80DD33" w14:textId="77777777" w:rsidR="00795F88" w:rsidRPr="00795F88" w:rsidRDefault="00795F88" w:rsidP="00C6296D"/>
    <w:p w14:paraId="28D761C5" w14:textId="3EA63D28" w:rsidR="00C30D86" w:rsidRPr="00C54A6A" w:rsidRDefault="004C0438" w:rsidP="00C6296D">
      <w:pPr>
        <w:pStyle w:val="Heading1"/>
      </w:pPr>
      <w:r w:rsidRPr="00C54A6A">
        <w:t xml:space="preserve">Choice of Method for </w:t>
      </w:r>
      <w:r w:rsidR="00C30D86" w:rsidRPr="00C54A6A">
        <w:t>Stats NZ Geographies</w:t>
      </w:r>
      <w:r w:rsidR="00B51494" w:rsidRPr="00C54A6A">
        <w:t xml:space="preserve"> for the Climate Projections</w:t>
      </w:r>
    </w:p>
    <w:p w14:paraId="69CE7930" w14:textId="77777777" w:rsidR="00C30D86" w:rsidRPr="00C54A6A" w:rsidRDefault="00C30D86" w:rsidP="00C6296D"/>
    <w:p w14:paraId="1EF98AA4" w14:textId="4C0A0BA8" w:rsidR="00B51494" w:rsidRDefault="00B51494" w:rsidP="00C6296D">
      <w:r w:rsidRPr="00396C7C">
        <w:t>The Thiessen methodology was initially considered as a solution for small urban areas, then expanded to be used directly on every SA2 area, regardless of size.</w:t>
      </w:r>
      <w:r>
        <w:t xml:space="preserve"> In preparing a set of geographies to use with vulnerability data, the question arises as to which methodology should be used for which geography. There are clear answers at the largest scale (the lasso method is most intuitive) and the smallest scale (the lasso method is impossible, so the Thiessen method</w:t>
      </w:r>
      <w:r w:rsidR="0000438A">
        <w:t xml:space="preserve"> is used</w:t>
      </w:r>
      <w:r>
        <w:t xml:space="preserve">), but a line needs to be drawn somewhere in-between. </w:t>
      </w:r>
    </w:p>
    <w:p w14:paraId="345D9FA6" w14:textId="77777777" w:rsidR="00B51494" w:rsidRDefault="00B51494" w:rsidP="00C6296D"/>
    <w:p w14:paraId="10B0A902" w14:textId="50B2FD48" w:rsidR="00530CBD" w:rsidRDefault="00B51494" w:rsidP="00C6296D">
      <w:r>
        <w:t xml:space="preserve">One argument is to use the Thiessen method all the time. </w:t>
      </w:r>
      <w:r w:rsidR="00CE587D">
        <w:t xml:space="preserve">It is argued that if the Thiessen method is essential for SA2 areas, then higher aggregations should be at the same geography. </w:t>
      </w:r>
      <w:r w:rsidR="00BB7A3A">
        <w:t xml:space="preserve"> </w:t>
      </w:r>
      <w:r>
        <w:t xml:space="preserve">However, the VCSN grid is a latitude-longitude grid, </w:t>
      </w:r>
      <w:r w:rsidR="00530CBD">
        <w:t xml:space="preserve">and thus </w:t>
      </w:r>
      <w:r>
        <w:t xml:space="preserve">the curvature of the earth </w:t>
      </w:r>
      <w:r w:rsidR="0053567A">
        <w:t xml:space="preserve">has an impact. The grid squares are much larger at the top of New Zealand than at the </w:t>
      </w:r>
      <w:r w:rsidR="0053567A" w:rsidRPr="00BB7A3A">
        <w:t>bottom</w:t>
      </w:r>
      <w:r w:rsidR="0053567A">
        <w:t xml:space="preserve">, and so an area-weighted calculation for the whole of New Zealand shifts the climate towards the north. </w:t>
      </w:r>
      <w:r w:rsidR="00BB7A3A">
        <w:t>It is more intuitive to use the lasso approach for New Zealand as a whole.</w:t>
      </w:r>
    </w:p>
    <w:p w14:paraId="79D75E1D" w14:textId="77777777" w:rsidR="00530CBD" w:rsidRDefault="00530CBD" w:rsidP="00C6296D"/>
    <w:p w14:paraId="6F86D7C1" w14:textId="64505B9C" w:rsidR="00B51494" w:rsidRDefault="001E7B03" w:rsidP="00C6296D">
      <w:r>
        <w:t xml:space="preserve">A second consideration is that some geographies will always need to be done using lasso approach. For example, climate zones, river catchments and rainfall response areas are drawn with the topography, usually along the top of a ridge. It makes no sense to bring in grid-points from outside that geography, no matter how small the effect. </w:t>
      </w:r>
    </w:p>
    <w:p w14:paraId="415837BB" w14:textId="77777777" w:rsidR="001E7B03" w:rsidRDefault="001E7B03" w:rsidP="00C6296D"/>
    <w:p w14:paraId="76F37A1D" w14:textId="227E525E" w:rsidR="00CE587D" w:rsidRDefault="00774894" w:rsidP="00C6296D">
      <w:pPr>
        <w:rPr>
          <w:bCs/>
        </w:rPr>
      </w:pPr>
      <w:r>
        <w:rPr>
          <w:bCs/>
        </w:rPr>
        <w:t xml:space="preserve">For the initial release of aggregated climate data, the focus is on the use of Stats NZ geographies. </w:t>
      </w:r>
      <w:r w:rsidR="00BB7A3A" w:rsidRPr="00396C7C">
        <w:t xml:space="preserve">Stats NZ </w:t>
      </w:r>
      <w:r w:rsidR="00BB7A3A">
        <w:t>uses</w:t>
      </w:r>
      <w:r w:rsidR="00BB7A3A" w:rsidRPr="00396C7C">
        <w:t xml:space="preserve"> a hierarchy of </w:t>
      </w:r>
      <w:r w:rsidR="00BB7A3A">
        <w:t>geographies</w:t>
      </w:r>
      <w:r w:rsidR="00BB7A3A" w:rsidRPr="00396C7C">
        <w:t xml:space="preserve">, building off </w:t>
      </w:r>
      <w:proofErr w:type="spellStart"/>
      <w:r w:rsidR="00BB7A3A" w:rsidRPr="00396C7C">
        <w:t>meshblocks</w:t>
      </w:r>
      <w:proofErr w:type="spellEnd"/>
      <w:r w:rsidR="00BB7A3A" w:rsidRPr="00396C7C">
        <w:t xml:space="preserve"> as the base unit. </w:t>
      </w:r>
      <w:r w:rsidR="00CE587D" w:rsidRPr="00396C7C">
        <w:t xml:space="preserve">The pathways of amalgamation of </w:t>
      </w:r>
      <w:proofErr w:type="spellStart"/>
      <w:r w:rsidR="00CE587D" w:rsidRPr="00396C7C">
        <w:t>meshblocks</w:t>
      </w:r>
      <w:proofErr w:type="spellEnd"/>
      <w:r w:rsidR="00CE587D" w:rsidRPr="00396C7C">
        <w:t xml:space="preserve"> differ between statistical geography (the form in which statistics are released), electoral geography (areas designated for voting), </w:t>
      </w:r>
      <w:r w:rsidR="00BB7A3A">
        <w:t xml:space="preserve">administrative geographies (like District Councils) </w:t>
      </w:r>
      <w:r w:rsidR="00CE587D" w:rsidRPr="00396C7C">
        <w:t xml:space="preserve">and for healthcare districts. </w:t>
      </w:r>
      <w:r w:rsidR="00CE587D">
        <w:rPr>
          <w:bCs/>
        </w:rPr>
        <w:t>Figure 3 illustrates the 2023 geographies</w:t>
      </w:r>
      <w:r w:rsidR="00CE587D">
        <w:rPr>
          <w:rStyle w:val="FootnoteReference"/>
          <w:rFonts w:eastAsia="Calibri" w:cs="Times New Roman"/>
          <w:bCs/>
          <w:kern w:val="0"/>
          <w14:ligatures w14:val="none"/>
        </w:rPr>
        <w:footnoteReference w:id="27"/>
      </w:r>
      <w:r w:rsidR="00CE587D">
        <w:rPr>
          <w:bCs/>
        </w:rPr>
        <w:t>.</w:t>
      </w:r>
      <w:r w:rsidR="0000438A">
        <w:rPr>
          <w:bCs/>
        </w:rPr>
        <w:t xml:space="preserve"> </w:t>
      </w:r>
    </w:p>
    <w:p w14:paraId="2BEDF563" w14:textId="3BC3C2AC" w:rsidR="00CE587D" w:rsidRDefault="00CE587D" w:rsidP="00C6296D">
      <w:pPr>
        <w:rPr>
          <w:rFonts w:eastAsia="Calibri" w:cs="Times New Roman"/>
          <w:kern w:val="0"/>
          <w14:ligatures w14:val="none"/>
        </w:rPr>
      </w:pPr>
      <w:r w:rsidRPr="00CE587D">
        <w:rPr>
          <w:noProof/>
        </w:rPr>
        <w:drawing>
          <wp:anchor distT="0" distB="0" distL="114300" distR="114300" simplePos="0" relativeHeight="251658242" behindDoc="0" locked="0" layoutInCell="1" allowOverlap="1" wp14:anchorId="782A2101" wp14:editId="70F3AD69">
            <wp:simplePos x="0" y="0"/>
            <wp:positionH relativeFrom="column">
              <wp:posOffset>123825</wp:posOffset>
            </wp:positionH>
            <wp:positionV relativeFrom="paragraph">
              <wp:posOffset>239395</wp:posOffset>
            </wp:positionV>
            <wp:extent cx="5534025" cy="4368800"/>
            <wp:effectExtent l="0" t="0" r="9525" b="0"/>
            <wp:wrapTopAndBottom/>
            <wp:docPr id="171810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02645" name=""/>
                    <pic:cNvPicPr/>
                  </pic:nvPicPr>
                  <pic:blipFill>
                    <a:blip r:embed="rId15">
                      <a:extLst>
                        <a:ext uri="{28A0092B-C50C-407E-A947-70E740481C1C}">
                          <a14:useLocalDpi xmlns:a14="http://schemas.microsoft.com/office/drawing/2010/main" val="0"/>
                        </a:ext>
                      </a:extLst>
                    </a:blip>
                    <a:stretch>
                      <a:fillRect/>
                    </a:stretch>
                  </pic:blipFill>
                  <pic:spPr>
                    <a:xfrm>
                      <a:off x="0" y="0"/>
                      <a:ext cx="5534025" cy="4368800"/>
                    </a:xfrm>
                    <a:prstGeom prst="rect">
                      <a:avLst/>
                    </a:prstGeom>
                  </pic:spPr>
                </pic:pic>
              </a:graphicData>
            </a:graphic>
            <wp14:sizeRelH relativeFrom="margin">
              <wp14:pctWidth>0</wp14:pctWidth>
            </wp14:sizeRelH>
            <wp14:sizeRelV relativeFrom="margin">
              <wp14:pctHeight>0</wp14:pctHeight>
            </wp14:sizeRelV>
          </wp:anchor>
        </w:drawing>
      </w:r>
    </w:p>
    <w:p w14:paraId="061BA9D3" w14:textId="0A28013A" w:rsidR="00CE587D" w:rsidRDefault="00CE587D" w:rsidP="00C6296D"/>
    <w:p w14:paraId="2CAAA098" w14:textId="3DF2A34F" w:rsidR="00CE587D" w:rsidRPr="00BB059C" w:rsidRDefault="00CE587D" w:rsidP="00BB059C">
      <w:pPr>
        <w:jc w:val="center"/>
        <w:rPr>
          <w:b/>
          <w:bCs/>
        </w:rPr>
      </w:pPr>
      <w:r w:rsidRPr="00BB059C">
        <w:rPr>
          <w:b/>
          <w:bCs/>
        </w:rPr>
        <w:t>Figure 3: Stats NZ Geographies 2023</w:t>
      </w:r>
    </w:p>
    <w:p w14:paraId="29152EA1" w14:textId="77777777" w:rsidR="00CE587D" w:rsidRDefault="00CE587D" w:rsidP="00C6296D"/>
    <w:p w14:paraId="220A9A3B" w14:textId="3AAB9488" w:rsidR="003E0AA5" w:rsidRDefault="00774894" w:rsidP="00C6296D">
      <w:proofErr w:type="spellStart"/>
      <w:r w:rsidRPr="00396C7C">
        <w:t>Meshblocks</w:t>
      </w:r>
      <w:proofErr w:type="spellEnd"/>
      <w:r w:rsidRPr="00396C7C">
        <w:t xml:space="preserve"> (60-120 people) are the smallest unit in the census, but the data is typically only available to researchers under </w:t>
      </w:r>
      <w:r>
        <w:t xml:space="preserve">tightly </w:t>
      </w:r>
      <w:r w:rsidRPr="00396C7C">
        <w:t>controlled conditions. Statistical area 1s (SA1s) are the physical equivalent of a city or rural block (100-200 people). Statistical area 2s (SA2s) amalgamate SA1s into recognisable suburbs or rural communities (1,000-4,000 people)</w:t>
      </w:r>
      <w:r>
        <w:t xml:space="preserve"> and are widely used in the release of Census 2023.</w:t>
      </w:r>
      <w:r w:rsidRPr="00396C7C">
        <w:t xml:space="preserve"> </w:t>
      </w:r>
    </w:p>
    <w:p w14:paraId="6E371BE5" w14:textId="632AA4DB" w:rsidR="00774894" w:rsidRDefault="00774894" w:rsidP="00C6296D">
      <w:r w:rsidRPr="00396C7C">
        <w:t xml:space="preserve">Territorial authorities (TAs) and regional councils are separate amalgamations of SA2 areas. </w:t>
      </w:r>
      <w:r>
        <w:t>For</w:t>
      </w:r>
      <w:r w:rsidRPr="00396C7C">
        <w:t xml:space="preserve"> Census 2023, Statistical area 3s (SA3s) are added to represent suburbs in larger urban areas and minimise data suppression</w:t>
      </w:r>
      <w:r>
        <w:t>.</w:t>
      </w:r>
      <w:r w:rsidR="003E0AA5">
        <w:t xml:space="preserve"> All these statistical geographies are helpful for linking to Census data and hence to measures of vulnerability and resilience to climate change</w:t>
      </w:r>
      <w:r w:rsidR="00BB7A3A">
        <w:t>.</w:t>
      </w:r>
    </w:p>
    <w:p w14:paraId="1AE80CC6" w14:textId="77777777" w:rsidR="003E0AA5" w:rsidRDefault="003E0AA5" w:rsidP="00C6296D"/>
    <w:p w14:paraId="29466F58" w14:textId="0C49B485" w:rsidR="003E0AA5" w:rsidRDefault="003E0AA5" w:rsidP="00C6296D">
      <w:r>
        <w:t xml:space="preserve">Health Regions are very large and the largest is </w:t>
      </w:r>
      <w:proofErr w:type="spellStart"/>
      <w:r>
        <w:t>Te</w:t>
      </w:r>
      <w:proofErr w:type="spellEnd"/>
      <w:r>
        <w:t xml:space="preserve"> Waipounamu (South Island). This needs to be identical to the South Island climate, and hence Health Regions </w:t>
      </w:r>
      <w:r w:rsidR="00A11DE5">
        <w:t>use the lasso method</w:t>
      </w:r>
      <w:r>
        <w:t xml:space="preserve"> used for New Zealand and Island. Health Districts are typically large and </w:t>
      </w:r>
      <w:r w:rsidR="00A11DE5">
        <w:t xml:space="preserve">thus </w:t>
      </w:r>
      <w:r>
        <w:t>use the same methodology. All other Stats NZ geographies use the Thiessen approach</w:t>
      </w:r>
      <w:r w:rsidR="00A11DE5">
        <w:t>, to provide continuity from SA2 level upward.</w:t>
      </w:r>
    </w:p>
    <w:p w14:paraId="2F0DCE7B" w14:textId="77777777" w:rsidR="00CE587D" w:rsidRDefault="00CE587D" w:rsidP="00C6296D"/>
    <w:p w14:paraId="7EF67263" w14:textId="160EDB93" w:rsidR="001E7B03" w:rsidRDefault="003E0AA5" w:rsidP="00C6296D">
      <w:r>
        <w:t>In summary, t</w:t>
      </w:r>
      <w:r w:rsidR="00CE587D">
        <w:t xml:space="preserve">he </w:t>
      </w:r>
      <w:r w:rsidR="00774894">
        <w:t>geographic aggregations of the NIWA “</w:t>
      </w:r>
      <w:r w:rsidR="004F43D8">
        <w:t>C</w:t>
      </w:r>
      <w:r w:rsidR="00774894">
        <w:t>ore” climate projections and the methodology used are as follows</w:t>
      </w:r>
      <w:r w:rsidR="00CE587D">
        <w:t xml:space="preserve">: </w:t>
      </w:r>
    </w:p>
    <w:p w14:paraId="07963822" w14:textId="77777777" w:rsidR="004F43D8" w:rsidRDefault="004F43D8" w:rsidP="00C6296D"/>
    <w:tbl>
      <w:tblPr>
        <w:tblStyle w:val="TableGrid"/>
        <w:tblW w:w="0" w:type="auto"/>
        <w:tblInd w:w="953" w:type="dxa"/>
        <w:tblLook w:val="04A0" w:firstRow="1" w:lastRow="0" w:firstColumn="1" w:lastColumn="0" w:noHBand="0" w:noVBand="1"/>
      </w:tblPr>
      <w:tblGrid>
        <w:gridCol w:w="1680"/>
        <w:gridCol w:w="4060"/>
        <w:gridCol w:w="1360"/>
      </w:tblGrid>
      <w:tr w:rsidR="0091312A" w:rsidRPr="0091312A" w14:paraId="4916B647" w14:textId="77777777" w:rsidTr="004F43D8">
        <w:trPr>
          <w:trHeight w:val="720"/>
        </w:trPr>
        <w:tc>
          <w:tcPr>
            <w:tcW w:w="1680" w:type="dxa"/>
            <w:shd w:val="clear" w:color="auto" w:fill="156082"/>
            <w:vAlign w:val="center"/>
            <w:hideMark/>
          </w:tcPr>
          <w:p w14:paraId="4ED814A6" w14:textId="77777777" w:rsidR="004F43D8" w:rsidRPr="0091312A" w:rsidRDefault="004F43D8" w:rsidP="00C6296D">
            <w:pPr>
              <w:rPr>
                <w:b/>
                <w:bCs/>
                <w:color w:val="FFFFFF" w:themeColor="background1"/>
              </w:rPr>
            </w:pPr>
            <w:r w:rsidRPr="0091312A">
              <w:rPr>
                <w:b/>
                <w:bCs/>
                <w:color w:val="FFFFFF" w:themeColor="background1"/>
              </w:rPr>
              <w:t>Geography</w:t>
            </w:r>
          </w:p>
          <w:p w14:paraId="334EB037" w14:textId="59607D8C" w:rsidR="004F43D8" w:rsidRPr="0091312A" w:rsidRDefault="004F43D8" w:rsidP="00C6296D">
            <w:pPr>
              <w:rPr>
                <w:b/>
                <w:bCs/>
                <w:color w:val="FFFFFF" w:themeColor="background1"/>
              </w:rPr>
            </w:pPr>
            <w:r w:rsidRPr="0091312A">
              <w:rPr>
                <w:b/>
                <w:bCs/>
                <w:color w:val="FFFFFF" w:themeColor="background1"/>
              </w:rPr>
              <w:t>Abbreviation</w:t>
            </w:r>
          </w:p>
        </w:tc>
        <w:tc>
          <w:tcPr>
            <w:tcW w:w="4060" w:type="dxa"/>
            <w:shd w:val="clear" w:color="auto" w:fill="156082"/>
            <w:vAlign w:val="center"/>
            <w:hideMark/>
          </w:tcPr>
          <w:p w14:paraId="6CCB0006" w14:textId="3855EBA1" w:rsidR="004F43D8" w:rsidRPr="0091312A" w:rsidRDefault="004F43D8" w:rsidP="00C6296D">
            <w:pPr>
              <w:rPr>
                <w:b/>
                <w:bCs/>
                <w:color w:val="FFFFFF" w:themeColor="background1"/>
              </w:rPr>
            </w:pPr>
            <w:r w:rsidRPr="0091312A">
              <w:rPr>
                <w:b/>
                <w:bCs/>
                <w:color w:val="FFFFFF" w:themeColor="background1"/>
              </w:rPr>
              <w:t>Geography Explanation</w:t>
            </w:r>
          </w:p>
        </w:tc>
        <w:tc>
          <w:tcPr>
            <w:tcW w:w="1360" w:type="dxa"/>
            <w:shd w:val="clear" w:color="auto" w:fill="156082"/>
            <w:vAlign w:val="center"/>
            <w:hideMark/>
          </w:tcPr>
          <w:p w14:paraId="42CCE269" w14:textId="77777777" w:rsidR="004F43D8" w:rsidRPr="0091312A" w:rsidRDefault="004F43D8" w:rsidP="00C6296D">
            <w:pPr>
              <w:rPr>
                <w:b/>
                <w:bCs/>
                <w:color w:val="FFFFFF" w:themeColor="background1"/>
              </w:rPr>
            </w:pPr>
            <w:r w:rsidRPr="0091312A">
              <w:rPr>
                <w:b/>
                <w:bCs/>
                <w:color w:val="FFFFFF" w:themeColor="background1"/>
              </w:rPr>
              <w:t>Method</w:t>
            </w:r>
          </w:p>
        </w:tc>
      </w:tr>
      <w:tr w:rsidR="004F43D8" w:rsidRPr="004F43D8" w14:paraId="36EF0A6E" w14:textId="77777777" w:rsidTr="004F43D8">
        <w:trPr>
          <w:trHeight w:val="400"/>
        </w:trPr>
        <w:tc>
          <w:tcPr>
            <w:tcW w:w="1680" w:type="dxa"/>
            <w:noWrap/>
            <w:hideMark/>
          </w:tcPr>
          <w:p w14:paraId="075B9D5C" w14:textId="77777777" w:rsidR="004F43D8" w:rsidRPr="004F43D8" w:rsidRDefault="004F43D8" w:rsidP="00C6296D">
            <w:r w:rsidRPr="004F43D8">
              <w:t>New Zealand</w:t>
            </w:r>
          </w:p>
        </w:tc>
        <w:tc>
          <w:tcPr>
            <w:tcW w:w="4060" w:type="dxa"/>
            <w:hideMark/>
          </w:tcPr>
          <w:p w14:paraId="60B0848C" w14:textId="1F6B986C" w:rsidR="004F43D8" w:rsidRPr="004F43D8" w:rsidRDefault="004F43D8" w:rsidP="00C6296D">
            <w:r>
              <w:t xml:space="preserve">All of </w:t>
            </w:r>
            <w:r w:rsidRPr="004F43D8">
              <w:t>New Zealand</w:t>
            </w:r>
          </w:p>
        </w:tc>
        <w:tc>
          <w:tcPr>
            <w:tcW w:w="1360" w:type="dxa"/>
            <w:noWrap/>
            <w:hideMark/>
          </w:tcPr>
          <w:p w14:paraId="6ED9DC8D" w14:textId="77777777" w:rsidR="004F43D8" w:rsidRPr="004F43D8" w:rsidRDefault="004F43D8" w:rsidP="00C6296D">
            <w:r w:rsidRPr="004F43D8">
              <w:t>Lasso</w:t>
            </w:r>
          </w:p>
        </w:tc>
      </w:tr>
      <w:tr w:rsidR="004F43D8" w:rsidRPr="004F43D8" w14:paraId="3E2FC921" w14:textId="77777777" w:rsidTr="004F43D8">
        <w:trPr>
          <w:trHeight w:val="400"/>
        </w:trPr>
        <w:tc>
          <w:tcPr>
            <w:tcW w:w="1680" w:type="dxa"/>
            <w:noWrap/>
            <w:hideMark/>
          </w:tcPr>
          <w:p w14:paraId="0B6FE585" w14:textId="77777777" w:rsidR="004F43D8" w:rsidRPr="004F43D8" w:rsidRDefault="004F43D8" w:rsidP="00C6296D">
            <w:r w:rsidRPr="004F43D8">
              <w:t>Island</w:t>
            </w:r>
          </w:p>
        </w:tc>
        <w:tc>
          <w:tcPr>
            <w:tcW w:w="4060" w:type="dxa"/>
            <w:hideMark/>
          </w:tcPr>
          <w:p w14:paraId="5EC4E4B3" w14:textId="2CAB29F7" w:rsidR="004F43D8" w:rsidRPr="004F43D8" w:rsidRDefault="004F43D8" w:rsidP="00C6296D">
            <w:r w:rsidRPr="004F43D8">
              <w:t>North</w:t>
            </w:r>
            <w:r>
              <w:t>/</w:t>
            </w:r>
            <w:r w:rsidRPr="004F43D8">
              <w:t xml:space="preserve"> South Island</w:t>
            </w:r>
          </w:p>
        </w:tc>
        <w:tc>
          <w:tcPr>
            <w:tcW w:w="1360" w:type="dxa"/>
            <w:noWrap/>
            <w:hideMark/>
          </w:tcPr>
          <w:p w14:paraId="42868882" w14:textId="77777777" w:rsidR="004F43D8" w:rsidRPr="004F43D8" w:rsidRDefault="004F43D8" w:rsidP="00C6296D">
            <w:r w:rsidRPr="004F43D8">
              <w:t>Lasso</w:t>
            </w:r>
          </w:p>
        </w:tc>
      </w:tr>
      <w:tr w:rsidR="004F43D8" w:rsidRPr="004F43D8" w14:paraId="0826F2FD" w14:textId="77777777" w:rsidTr="004F43D8">
        <w:trPr>
          <w:trHeight w:val="400"/>
        </w:trPr>
        <w:tc>
          <w:tcPr>
            <w:tcW w:w="1680" w:type="dxa"/>
            <w:noWrap/>
            <w:hideMark/>
          </w:tcPr>
          <w:p w14:paraId="4A43D207" w14:textId="77777777" w:rsidR="004F43D8" w:rsidRPr="004F43D8" w:rsidRDefault="004F43D8" w:rsidP="00C6296D">
            <w:r w:rsidRPr="004F43D8">
              <w:t>Region</w:t>
            </w:r>
          </w:p>
        </w:tc>
        <w:tc>
          <w:tcPr>
            <w:tcW w:w="4060" w:type="dxa"/>
            <w:hideMark/>
          </w:tcPr>
          <w:p w14:paraId="26DD249F" w14:textId="07EA18D2" w:rsidR="004F43D8" w:rsidRPr="004F43D8" w:rsidRDefault="004F43D8" w:rsidP="00C6296D">
            <w:r w:rsidRPr="004F43D8">
              <w:t xml:space="preserve">Regional Council 2023 </w:t>
            </w:r>
          </w:p>
        </w:tc>
        <w:tc>
          <w:tcPr>
            <w:tcW w:w="1360" w:type="dxa"/>
            <w:hideMark/>
          </w:tcPr>
          <w:p w14:paraId="0CD2A595" w14:textId="77777777" w:rsidR="004F43D8" w:rsidRPr="004F43D8" w:rsidRDefault="004F43D8" w:rsidP="00C6296D">
            <w:r w:rsidRPr="004F43D8">
              <w:t>Thiessen</w:t>
            </w:r>
          </w:p>
        </w:tc>
      </w:tr>
      <w:tr w:rsidR="004F43D8" w:rsidRPr="004F43D8" w14:paraId="6DEC8990" w14:textId="77777777" w:rsidTr="004F43D8">
        <w:trPr>
          <w:trHeight w:val="400"/>
        </w:trPr>
        <w:tc>
          <w:tcPr>
            <w:tcW w:w="1680" w:type="dxa"/>
            <w:noWrap/>
            <w:hideMark/>
          </w:tcPr>
          <w:p w14:paraId="59448DAE" w14:textId="77777777" w:rsidR="004F43D8" w:rsidRPr="004F43D8" w:rsidRDefault="004F43D8" w:rsidP="00C6296D">
            <w:r w:rsidRPr="004F43D8">
              <w:t>TA</w:t>
            </w:r>
          </w:p>
        </w:tc>
        <w:tc>
          <w:tcPr>
            <w:tcW w:w="4060" w:type="dxa"/>
            <w:hideMark/>
          </w:tcPr>
          <w:p w14:paraId="35FC27C6" w14:textId="10506C7D" w:rsidR="004F43D8" w:rsidRPr="004F43D8" w:rsidRDefault="004F43D8" w:rsidP="00C6296D">
            <w:r w:rsidRPr="004F43D8">
              <w:t xml:space="preserve">Territorial Authority 2023 </w:t>
            </w:r>
          </w:p>
        </w:tc>
        <w:tc>
          <w:tcPr>
            <w:tcW w:w="1360" w:type="dxa"/>
            <w:hideMark/>
          </w:tcPr>
          <w:p w14:paraId="258EAF6C" w14:textId="77777777" w:rsidR="004F43D8" w:rsidRPr="004F43D8" w:rsidRDefault="004F43D8" w:rsidP="00C6296D">
            <w:r w:rsidRPr="004F43D8">
              <w:t>Thiessen</w:t>
            </w:r>
          </w:p>
        </w:tc>
      </w:tr>
      <w:tr w:rsidR="004F43D8" w:rsidRPr="004F43D8" w14:paraId="6E41FCF5" w14:textId="77777777" w:rsidTr="004F43D8">
        <w:trPr>
          <w:trHeight w:val="400"/>
        </w:trPr>
        <w:tc>
          <w:tcPr>
            <w:tcW w:w="1680" w:type="dxa"/>
            <w:noWrap/>
            <w:hideMark/>
          </w:tcPr>
          <w:p w14:paraId="26665685" w14:textId="77777777" w:rsidR="004F43D8" w:rsidRPr="004F43D8" w:rsidRDefault="004F43D8" w:rsidP="00C6296D">
            <w:r w:rsidRPr="004F43D8">
              <w:t>TALB</w:t>
            </w:r>
          </w:p>
        </w:tc>
        <w:tc>
          <w:tcPr>
            <w:tcW w:w="4060" w:type="dxa"/>
            <w:hideMark/>
          </w:tcPr>
          <w:p w14:paraId="3F11F3E0" w14:textId="785EC089" w:rsidR="004F43D8" w:rsidRPr="004F43D8" w:rsidRDefault="004F43D8" w:rsidP="00C6296D">
            <w:r w:rsidRPr="004F43D8">
              <w:t xml:space="preserve">Territorial Authority and Local Boards </w:t>
            </w:r>
          </w:p>
        </w:tc>
        <w:tc>
          <w:tcPr>
            <w:tcW w:w="1360" w:type="dxa"/>
            <w:hideMark/>
          </w:tcPr>
          <w:p w14:paraId="2EC59DC3" w14:textId="77777777" w:rsidR="004F43D8" w:rsidRPr="004F43D8" w:rsidRDefault="004F43D8" w:rsidP="00C6296D">
            <w:r w:rsidRPr="004F43D8">
              <w:t>Thiessen</w:t>
            </w:r>
          </w:p>
        </w:tc>
      </w:tr>
      <w:tr w:rsidR="004F43D8" w:rsidRPr="004F43D8" w14:paraId="3C99DC56" w14:textId="77777777" w:rsidTr="004F43D8">
        <w:trPr>
          <w:trHeight w:val="400"/>
        </w:trPr>
        <w:tc>
          <w:tcPr>
            <w:tcW w:w="1680" w:type="dxa"/>
            <w:noWrap/>
            <w:hideMark/>
          </w:tcPr>
          <w:p w14:paraId="749228E7" w14:textId="77777777" w:rsidR="004F43D8" w:rsidRPr="004F43D8" w:rsidRDefault="004F43D8" w:rsidP="00C6296D">
            <w:r w:rsidRPr="004F43D8">
              <w:t>SA3</w:t>
            </w:r>
          </w:p>
        </w:tc>
        <w:tc>
          <w:tcPr>
            <w:tcW w:w="4060" w:type="dxa"/>
            <w:hideMark/>
          </w:tcPr>
          <w:p w14:paraId="26382752" w14:textId="660D52C2" w:rsidR="004F43D8" w:rsidRPr="004F43D8" w:rsidRDefault="004F43D8" w:rsidP="00C6296D">
            <w:r w:rsidRPr="004F43D8">
              <w:t xml:space="preserve">Statistical Area 3 2023 </w:t>
            </w:r>
          </w:p>
        </w:tc>
        <w:tc>
          <w:tcPr>
            <w:tcW w:w="1360" w:type="dxa"/>
            <w:hideMark/>
          </w:tcPr>
          <w:p w14:paraId="534942F0" w14:textId="77777777" w:rsidR="004F43D8" w:rsidRPr="004F43D8" w:rsidRDefault="004F43D8" w:rsidP="00C6296D">
            <w:r w:rsidRPr="004F43D8">
              <w:t>Thiessen</w:t>
            </w:r>
          </w:p>
        </w:tc>
      </w:tr>
      <w:tr w:rsidR="004F43D8" w:rsidRPr="004F43D8" w14:paraId="021536A8" w14:textId="77777777" w:rsidTr="004F43D8">
        <w:trPr>
          <w:trHeight w:val="400"/>
        </w:trPr>
        <w:tc>
          <w:tcPr>
            <w:tcW w:w="1680" w:type="dxa"/>
            <w:noWrap/>
            <w:hideMark/>
          </w:tcPr>
          <w:p w14:paraId="75A69F56" w14:textId="77777777" w:rsidR="004F43D8" w:rsidRPr="004F43D8" w:rsidRDefault="004F43D8" w:rsidP="00C6296D">
            <w:r w:rsidRPr="004F43D8">
              <w:t>SA2</w:t>
            </w:r>
          </w:p>
        </w:tc>
        <w:tc>
          <w:tcPr>
            <w:tcW w:w="4060" w:type="dxa"/>
            <w:hideMark/>
          </w:tcPr>
          <w:p w14:paraId="143BAD1E" w14:textId="282CDA95" w:rsidR="004F43D8" w:rsidRPr="004F43D8" w:rsidRDefault="004F43D8" w:rsidP="00C6296D">
            <w:r w:rsidRPr="004F43D8">
              <w:t xml:space="preserve">Statistical Area 2 2023 </w:t>
            </w:r>
          </w:p>
        </w:tc>
        <w:tc>
          <w:tcPr>
            <w:tcW w:w="1360" w:type="dxa"/>
            <w:hideMark/>
          </w:tcPr>
          <w:p w14:paraId="506D0993" w14:textId="77777777" w:rsidR="004F43D8" w:rsidRPr="004F43D8" w:rsidRDefault="004F43D8" w:rsidP="00C6296D">
            <w:r w:rsidRPr="004F43D8">
              <w:t>Thiessen</w:t>
            </w:r>
          </w:p>
        </w:tc>
      </w:tr>
      <w:tr w:rsidR="004F43D8" w:rsidRPr="004F43D8" w14:paraId="5563E4D0" w14:textId="77777777" w:rsidTr="006C066D">
        <w:trPr>
          <w:trHeight w:val="560"/>
        </w:trPr>
        <w:tc>
          <w:tcPr>
            <w:tcW w:w="1680" w:type="dxa"/>
            <w:noWrap/>
            <w:hideMark/>
          </w:tcPr>
          <w:p w14:paraId="59B26D36" w14:textId="77777777" w:rsidR="004F43D8" w:rsidRPr="004F43D8" w:rsidRDefault="004F43D8" w:rsidP="00C6296D">
            <w:r w:rsidRPr="004F43D8">
              <w:t>Urban</w:t>
            </w:r>
          </w:p>
        </w:tc>
        <w:tc>
          <w:tcPr>
            <w:tcW w:w="4060" w:type="dxa"/>
            <w:hideMark/>
          </w:tcPr>
          <w:p w14:paraId="2D14A522" w14:textId="77777777" w:rsidR="004F43D8" w:rsidRPr="004F43D8" w:rsidRDefault="004F43D8" w:rsidP="00C6296D">
            <w:r>
              <w:t xml:space="preserve">Cities, towns, and rural settlements </w:t>
            </w:r>
            <w:r w:rsidRPr="004F43D8">
              <w:t xml:space="preserve">from Urban Rural 2023 </w:t>
            </w:r>
          </w:p>
        </w:tc>
        <w:tc>
          <w:tcPr>
            <w:tcW w:w="1360" w:type="dxa"/>
            <w:hideMark/>
          </w:tcPr>
          <w:p w14:paraId="0C0FCE24" w14:textId="77777777" w:rsidR="004F43D8" w:rsidRPr="004F43D8" w:rsidRDefault="004F43D8" w:rsidP="00C6296D">
            <w:r w:rsidRPr="004F43D8">
              <w:t>Thiessen</w:t>
            </w:r>
          </w:p>
        </w:tc>
      </w:tr>
      <w:tr w:rsidR="004F43D8" w:rsidRPr="004F43D8" w14:paraId="278066DB" w14:textId="77777777" w:rsidTr="004F43D8">
        <w:trPr>
          <w:trHeight w:val="400"/>
        </w:trPr>
        <w:tc>
          <w:tcPr>
            <w:tcW w:w="1680" w:type="dxa"/>
            <w:noWrap/>
            <w:hideMark/>
          </w:tcPr>
          <w:p w14:paraId="36312CC1" w14:textId="77777777" w:rsidR="004F43D8" w:rsidRPr="004F43D8" w:rsidRDefault="004F43D8" w:rsidP="00C6296D">
            <w:r w:rsidRPr="004F43D8">
              <w:t>Health Region</w:t>
            </w:r>
          </w:p>
        </w:tc>
        <w:tc>
          <w:tcPr>
            <w:tcW w:w="4060" w:type="dxa"/>
            <w:hideMark/>
          </w:tcPr>
          <w:p w14:paraId="178EBB83" w14:textId="77777777" w:rsidR="004F43D8" w:rsidRPr="004F43D8" w:rsidRDefault="004F43D8" w:rsidP="00C6296D">
            <w:r w:rsidRPr="004F43D8">
              <w:t xml:space="preserve">Health NZ </w:t>
            </w:r>
            <w:proofErr w:type="spellStart"/>
            <w:r w:rsidRPr="004F43D8">
              <w:t>Te</w:t>
            </w:r>
            <w:proofErr w:type="spellEnd"/>
            <w:r w:rsidRPr="004F43D8">
              <w:t xml:space="preserve"> Whatu Ora Health Regions </w:t>
            </w:r>
          </w:p>
        </w:tc>
        <w:tc>
          <w:tcPr>
            <w:tcW w:w="1360" w:type="dxa"/>
            <w:noWrap/>
            <w:hideMark/>
          </w:tcPr>
          <w:p w14:paraId="59BC4A6F" w14:textId="77777777" w:rsidR="004F43D8" w:rsidRPr="004F43D8" w:rsidRDefault="004F43D8" w:rsidP="00C6296D">
            <w:r w:rsidRPr="004F43D8">
              <w:t>Lasso</w:t>
            </w:r>
          </w:p>
        </w:tc>
      </w:tr>
      <w:tr w:rsidR="004F43D8" w:rsidRPr="004F43D8" w14:paraId="693362F3" w14:textId="77777777" w:rsidTr="004F43D8">
        <w:trPr>
          <w:trHeight w:val="400"/>
        </w:trPr>
        <w:tc>
          <w:tcPr>
            <w:tcW w:w="1680" w:type="dxa"/>
            <w:noWrap/>
            <w:hideMark/>
          </w:tcPr>
          <w:p w14:paraId="06FCAC0C" w14:textId="77777777" w:rsidR="004F43D8" w:rsidRPr="004F43D8" w:rsidRDefault="004F43D8" w:rsidP="00C6296D">
            <w:r w:rsidRPr="004F43D8">
              <w:t>Health District</w:t>
            </w:r>
          </w:p>
        </w:tc>
        <w:tc>
          <w:tcPr>
            <w:tcW w:w="4060" w:type="dxa"/>
            <w:hideMark/>
          </w:tcPr>
          <w:p w14:paraId="26610773" w14:textId="77777777" w:rsidR="004F43D8" w:rsidRPr="004F43D8" w:rsidRDefault="004F43D8" w:rsidP="00C6296D">
            <w:r w:rsidRPr="004F43D8">
              <w:t xml:space="preserve">Health NZ </w:t>
            </w:r>
            <w:proofErr w:type="spellStart"/>
            <w:r w:rsidRPr="004F43D8">
              <w:t>Te</w:t>
            </w:r>
            <w:proofErr w:type="spellEnd"/>
            <w:r w:rsidRPr="004F43D8">
              <w:t xml:space="preserve"> Whatu Ora Health Districts</w:t>
            </w:r>
          </w:p>
        </w:tc>
        <w:tc>
          <w:tcPr>
            <w:tcW w:w="1360" w:type="dxa"/>
            <w:noWrap/>
            <w:hideMark/>
          </w:tcPr>
          <w:p w14:paraId="73679E5E" w14:textId="77777777" w:rsidR="004F43D8" w:rsidRPr="004F43D8" w:rsidRDefault="004F43D8" w:rsidP="00C6296D">
            <w:r w:rsidRPr="004F43D8">
              <w:t>Lasso</w:t>
            </w:r>
          </w:p>
        </w:tc>
      </w:tr>
    </w:tbl>
    <w:p w14:paraId="384BD67B" w14:textId="77777777" w:rsidR="004F43D8" w:rsidRDefault="004F43D8" w:rsidP="00C6296D"/>
    <w:p w14:paraId="4B74980C" w14:textId="77777777" w:rsidR="008C57E8" w:rsidRDefault="008C57E8" w:rsidP="00C6296D"/>
    <w:p w14:paraId="163F4835" w14:textId="19C1C536" w:rsidR="001A5FC3" w:rsidRDefault="003E0AA5" w:rsidP="00C6296D">
      <w:r>
        <w:t xml:space="preserve">Further amalgamations of climate </w:t>
      </w:r>
      <w:r w:rsidR="00A11DE5">
        <w:t xml:space="preserve">projections </w:t>
      </w:r>
      <w:r>
        <w:t>at geographies useful for environmental monitoring may be added later.</w:t>
      </w:r>
    </w:p>
    <w:p w14:paraId="6D644ABC" w14:textId="77777777" w:rsidR="001A5FC3" w:rsidRDefault="001A5FC3" w:rsidP="00C6296D"/>
    <w:p w14:paraId="2C0F7301" w14:textId="77777777" w:rsidR="00A11DE5" w:rsidRDefault="00A11DE5" w:rsidP="00C6296D"/>
    <w:p w14:paraId="2FD819A4" w14:textId="77777777" w:rsidR="008C57E8" w:rsidRDefault="008C57E8" w:rsidP="00C6296D"/>
    <w:tbl>
      <w:tblPr>
        <w:tblW w:w="8828" w:type="dxa"/>
        <w:tblLook w:val="04A0" w:firstRow="1" w:lastRow="0" w:firstColumn="1" w:lastColumn="0" w:noHBand="0" w:noVBand="1"/>
      </w:tblPr>
      <w:tblGrid>
        <w:gridCol w:w="2816"/>
        <w:gridCol w:w="1316"/>
        <w:gridCol w:w="4696"/>
      </w:tblGrid>
      <w:tr w:rsidR="0091312A" w:rsidRPr="0091312A" w14:paraId="2FF9A751" w14:textId="77777777" w:rsidTr="001A5FC3">
        <w:trPr>
          <w:trHeight w:val="300"/>
        </w:trPr>
        <w:tc>
          <w:tcPr>
            <w:tcW w:w="2816" w:type="dxa"/>
            <w:tcBorders>
              <w:top w:val="nil"/>
              <w:left w:val="nil"/>
              <w:bottom w:val="nil"/>
              <w:right w:val="nil"/>
            </w:tcBorders>
            <w:noWrap/>
            <w:vAlign w:val="bottom"/>
            <w:hideMark/>
          </w:tcPr>
          <w:p w14:paraId="5A701EA9" w14:textId="77777777" w:rsidR="001A5FC3" w:rsidRPr="0091312A" w:rsidRDefault="001A5FC3" w:rsidP="00C6296D">
            <w:pPr>
              <w:rPr>
                <w:b/>
                <w:bCs/>
                <w:color w:val="156082"/>
                <w:lang w:eastAsia="en-GB"/>
              </w:rPr>
            </w:pPr>
            <w:r w:rsidRPr="0091312A">
              <w:rPr>
                <w:b/>
                <w:bCs/>
                <w:color w:val="156082"/>
                <w:lang w:eastAsia="en-GB"/>
              </w:rPr>
              <w:t>Data and Insights Products</w:t>
            </w:r>
          </w:p>
        </w:tc>
        <w:tc>
          <w:tcPr>
            <w:tcW w:w="1316" w:type="dxa"/>
            <w:tcBorders>
              <w:top w:val="nil"/>
              <w:left w:val="nil"/>
              <w:bottom w:val="nil"/>
              <w:right w:val="nil"/>
            </w:tcBorders>
            <w:noWrap/>
            <w:vAlign w:val="bottom"/>
            <w:hideMark/>
          </w:tcPr>
          <w:p w14:paraId="1A551C9A" w14:textId="77777777" w:rsidR="001A5FC3" w:rsidRPr="0091312A" w:rsidRDefault="001A5FC3" w:rsidP="00C6296D">
            <w:pPr>
              <w:rPr>
                <w:b/>
                <w:bCs/>
                <w:color w:val="156082"/>
                <w:lang w:eastAsia="en-GB"/>
              </w:rPr>
            </w:pPr>
          </w:p>
        </w:tc>
        <w:tc>
          <w:tcPr>
            <w:tcW w:w="4696" w:type="dxa"/>
            <w:tcBorders>
              <w:top w:val="nil"/>
              <w:left w:val="nil"/>
              <w:bottom w:val="nil"/>
              <w:right w:val="nil"/>
            </w:tcBorders>
            <w:noWrap/>
            <w:vAlign w:val="bottom"/>
            <w:hideMark/>
          </w:tcPr>
          <w:p w14:paraId="4E37064D" w14:textId="77777777" w:rsidR="001A5FC3" w:rsidRPr="0091312A" w:rsidRDefault="001A5FC3" w:rsidP="00C6296D">
            <w:pPr>
              <w:rPr>
                <w:b/>
                <w:bCs/>
                <w:color w:val="156082"/>
                <w:lang w:eastAsia="en-GB"/>
              </w:rPr>
            </w:pPr>
          </w:p>
        </w:tc>
      </w:tr>
      <w:tr w:rsidR="0091312A" w:rsidRPr="0091312A" w14:paraId="3C8F4FCF" w14:textId="77777777" w:rsidTr="001A5FC3">
        <w:trPr>
          <w:trHeight w:val="300"/>
        </w:trPr>
        <w:tc>
          <w:tcPr>
            <w:tcW w:w="8828" w:type="dxa"/>
            <w:gridSpan w:val="3"/>
            <w:tcBorders>
              <w:top w:val="nil"/>
              <w:left w:val="nil"/>
              <w:bottom w:val="nil"/>
              <w:right w:val="nil"/>
            </w:tcBorders>
            <w:noWrap/>
            <w:vAlign w:val="bottom"/>
            <w:hideMark/>
          </w:tcPr>
          <w:p w14:paraId="1794A51F" w14:textId="77777777" w:rsidR="001A5FC3" w:rsidRPr="0091312A" w:rsidRDefault="001A5FC3" w:rsidP="00C6296D">
            <w:pPr>
              <w:rPr>
                <w:b/>
                <w:bCs/>
                <w:color w:val="156082"/>
                <w:lang w:eastAsia="en-GB"/>
              </w:rPr>
            </w:pPr>
            <w:r w:rsidRPr="0091312A">
              <w:rPr>
                <w:b/>
                <w:bCs/>
                <w:color w:val="156082"/>
                <w:lang w:eastAsia="en-GB"/>
              </w:rPr>
              <w:t xml:space="preserve">Ministry for the Environment | </w:t>
            </w:r>
            <w:proofErr w:type="spellStart"/>
            <w:r w:rsidRPr="0091312A">
              <w:rPr>
                <w:b/>
                <w:bCs/>
                <w:color w:val="156082"/>
                <w:lang w:eastAsia="en-GB"/>
              </w:rPr>
              <w:t>Manatū</w:t>
            </w:r>
            <w:proofErr w:type="spellEnd"/>
            <w:r w:rsidRPr="0091312A">
              <w:rPr>
                <w:b/>
                <w:bCs/>
                <w:color w:val="156082"/>
                <w:lang w:eastAsia="en-GB"/>
              </w:rPr>
              <w:t xml:space="preserve"> </w:t>
            </w:r>
            <w:proofErr w:type="spellStart"/>
            <w:r w:rsidRPr="0091312A">
              <w:rPr>
                <w:b/>
                <w:bCs/>
                <w:color w:val="156082"/>
                <w:lang w:eastAsia="en-GB"/>
              </w:rPr>
              <w:t>Mō</w:t>
            </w:r>
            <w:proofErr w:type="spellEnd"/>
            <w:r w:rsidRPr="0091312A">
              <w:rPr>
                <w:b/>
                <w:bCs/>
                <w:color w:val="156082"/>
                <w:lang w:eastAsia="en-GB"/>
              </w:rPr>
              <w:t xml:space="preserve"> </w:t>
            </w:r>
            <w:proofErr w:type="spellStart"/>
            <w:r w:rsidRPr="0091312A">
              <w:rPr>
                <w:b/>
                <w:bCs/>
                <w:color w:val="156082"/>
                <w:lang w:eastAsia="en-GB"/>
              </w:rPr>
              <w:t>Te</w:t>
            </w:r>
            <w:proofErr w:type="spellEnd"/>
            <w:r w:rsidRPr="0091312A">
              <w:rPr>
                <w:b/>
                <w:bCs/>
                <w:color w:val="156082"/>
                <w:lang w:eastAsia="en-GB"/>
              </w:rPr>
              <w:t xml:space="preserve"> Taiao </w:t>
            </w:r>
          </w:p>
        </w:tc>
      </w:tr>
      <w:tr w:rsidR="001A5FC3" w:rsidRPr="001A5FC3" w14:paraId="2481B4B8" w14:textId="77777777" w:rsidTr="001A5FC3">
        <w:trPr>
          <w:trHeight w:val="300"/>
        </w:trPr>
        <w:tc>
          <w:tcPr>
            <w:tcW w:w="2816" w:type="dxa"/>
            <w:tcBorders>
              <w:top w:val="nil"/>
              <w:left w:val="nil"/>
              <w:bottom w:val="nil"/>
              <w:right w:val="nil"/>
            </w:tcBorders>
            <w:noWrap/>
            <w:vAlign w:val="bottom"/>
            <w:hideMark/>
          </w:tcPr>
          <w:p w14:paraId="60F57EDB" w14:textId="1788C42E" w:rsidR="001A5FC3" w:rsidRPr="001A5FC3" w:rsidRDefault="001A5FC3" w:rsidP="00C6296D">
            <w:pPr>
              <w:rPr>
                <w:lang w:eastAsia="en-GB"/>
              </w:rPr>
            </w:pPr>
            <w:r>
              <w:rPr>
                <w:lang w:eastAsia="en-GB"/>
              </w:rPr>
              <w:t>For queries, contact</w:t>
            </w:r>
            <w:r w:rsidRPr="001A5FC3">
              <w:rPr>
                <w:lang w:eastAsia="en-GB"/>
              </w:rPr>
              <w:t xml:space="preserve">: </w:t>
            </w:r>
          </w:p>
        </w:tc>
        <w:tc>
          <w:tcPr>
            <w:tcW w:w="6012" w:type="dxa"/>
            <w:gridSpan w:val="2"/>
            <w:tcBorders>
              <w:top w:val="nil"/>
              <w:left w:val="nil"/>
              <w:bottom w:val="nil"/>
              <w:right w:val="nil"/>
            </w:tcBorders>
            <w:noWrap/>
            <w:vAlign w:val="bottom"/>
            <w:hideMark/>
          </w:tcPr>
          <w:p w14:paraId="45107C69" w14:textId="66DFF36C" w:rsidR="001A5FC3" w:rsidRPr="001A5FC3" w:rsidRDefault="001A5FC3" w:rsidP="00C6296D">
            <w:pPr>
              <w:rPr>
                <w:lang w:eastAsia="en-GB"/>
              </w:rPr>
            </w:pPr>
            <w:hyperlink r:id="rId16" w:history="1">
              <w:r w:rsidRPr="001A5FC3">
                <w:rPr>
                  <w:rStyle w:val="Hyperlink"/>
                  <w:rFonts w:ascii="Aptos Narrow" w:eastAsia="Times New Roman" w:hAnsi="Aptos Narrow" w:cs="Times New Roman"/>
                  <w:kern w:val="0"/>
                  <w:lang w:eastAsia="en-GB"/>
                  <w14:ligatures w14:val="none"/>
                </w:rPr>
                <w:t xml:space="preserve">ClimateData@mfe.govt.nz </w:t>
              </w:r>
            </w:hyperlink>
          </w:p>
        </w:tc>
      </w:tr>
      <w:tr w:rsidR="001A5FC3" w:rsidRPr="0091312A" w14:paraId="6CE843AE" w14:textId="77777777" w:rsidTr="001A5FC3">
        <w:trPr>
          <w:trHeight w:val="300"/>
        </w:trPr>
        <w:tc>
          <w:tcPr>
            <w:tcW w:w="2816" w:type="dxa"/>
            <w:tcBorders>
              <w:top w:val="nil"/>
              <w:left w:val="nil"/>
              <w:bottom w:val="nil"/>
              <w:right w:val="nil"/>
            </w:tcBorders>
            <w:noWrap/>
            <w:vAlign w:val="bottom"/>
            <w:hideMark/>
          </w:tcPr>
          <w:p w14:paraId="1EFEB1E4" w14:textId="047F21DE" w:rsidR="001A5FC3" w:rsidRPr="0091312A" w:rsidRDefault="001A5FC3" w:rsidP="00C6296D">
            <w:pPr>
              <w:rPr>
                <w:i/>
                <w:iCs/>
                <w:lang w:eastAsia="en-GB"/>
              </w:rPr>
            </w:pPr>
            <w:r w:rsidRPr="0091312A">
              <w:rPr>
                <w:i/>
                <w:iCs/>
                <w:lang w:eastAsia="en-GB"/>
              </w:rPr>
              <w:t>Last update 1</w:t>
            </w:r>
            <w:r w:rsidR="0002258D" w:rsidRPr="0091312A">
              <w:rPr>
                <w:i/>
                <w:iCs/>
                <w:lang w:eastAsia="en-GB"/>
              </w:rPr>
              <w:t>5</w:t>
            </w:r>
            <w:r w:rsidRPr="0091312A">
              <w:rPr>
                <w:i/>
                <w:iCs/>
                <w:lang w:eastAsia="en-GB"/>
              </w:rPr>
              <w:t xml:space="preserve"> July 2025</w:t>
            </w:r>
          </w:p>
        </w:tc>
        <w:tc>
          <w:tcPr>
            <w:tcW w:w="1316" w:type="dxa"/>
            <w:tcBorders>
              <w:top w:val="nil"/>
              <w:left w:val="nil"/>
              <w:bottom w:val="nil"/>
              <w:right w:val="nil"/>
            </w:tcBorders>
            <w:noWrap/>
            <w:vAlign w:val="bottom"/>
            <w:hideMark/>
          </w:tcPr>
          <w:p w14:paraId="2BFB3067" w14:textId="77777777" w:rsidR="001A5FC3" w:rsidRPr="0091312A" w:rsidRDefault="001A5FC3" w:rsidP="00C6296D">
            <w:pPr>
              <w:rPr>
                <w:i/>
                <w:iCs/>
                <w:lang w:eastAsia="en-GB"/>
              </w:rPr>
            </w:pPr>
          </w:p>
        </w:tc>
        <w:tc>
          <w:tcPr>
            <w:tcW w:w="4696" w:type="dxa"/>
            <w:tcBorders>
              <w:top w:val="nil"/>
              <w:left w:val="nil"/>
              <w:bottom w:val="nil"/>
              <w:right w:val="nil"/>
            </w:tcBorders>
            <w:noWrap/>
            <w:vAlign w:val="bottom"/>
            <w:hideMark/>
          </w:tcPr>
          <w:p w14:paraId="5E7C9836" w14:textId="77777777" w:rsidR="001A5FC3" w:rsidRPr="0091312A" w:rsidRDefault="001A5FC3" w:rsidP="00C6296D">
            <w:pPr>
              <w:rPr>
                <w:i/>
                <w:iCs/>
                <w:lang w:eastAsia="en-GB"/>
              </w:rPr>
            </w:pPr>
          </w:p>
        </w:tc>
      </w:tr>
    </w:tbl>
    <w:p w14:paraId="5347854C" w14:textId="77777777" w:rsidR="001A5FC3" w:rsidRDefault="001A5FC3" w:rsidP="00C6296D"/>
    <w:p w14:paraId="0ABCA57A" w14:textId="77777777" w:rsidR="00720BEA" w:rsidRDefault="00720BEA" w:rsidP="00C6296D"/>
    <w:sectPr w:rsidR="00720BEA">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25641" w14:textId="77777777" w:rsidR="007F2829" w:rsidRPr="003E0AA5" w:rsidRDefault="007F2829" w:rsidP="00C6296D">
      <w:pPr>
        <w:pStyle w:val="Footer"/>
      </w:pPr>
    </w:p>
  </w:endnote>
  <w:endnote w:type="continuationSeparator" w:id="0">
    <w:p w14:paraId="6E29E6B7" w14:textId="77777777" w:rsidR="007F2829" w:rsidRDefault="007F2829" w:rsidP="00C6296D">
      <w:r>
        <w:continuationSeparator/>
      </w:r>
    </w:p>
  </w:endnote>
  <w:endnote w:type="continuationNotice" w:id="1">
    <w:p w14:paraId="19F566C4" w14:textId="77777777" w:rsidR="00CE7CF9" w:rsidRDefault="00CE7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C54D" w14:textId="62030FBA" w:rsidR="00B94091" w:rsidRPr="00B94091" w:rsidRDefault="00B94091" w:rsidP="00C6296D">
    <w:pPr>
      <w:pStyle w:val="Footer"/>
    </w:pPr>
    <w:r>
      <w:t xml:space="preserve">Page </w:t>
    </w:r>
    <w:r w:rsidRPr="00B94091">
      <w:fldChar w:fldCharType="begin"/>
    </w:r>
    <w:r w:rsidRPr="00B94091">
      <w:instrText xml:space="preserve"> PAGE   \* MERGEFORMAT </w:instrText>
    </w:r>
    <w:r w:rsidRPr="00B94091">
      <w:fldChar w:fldCharType="separate"/>
    </w:r>
    <w:r w:rsidRPr="00B94091">
      <w:rPr>
        <w:noProof/>
      </w:rPr>
      <w:t>1</w:t>
    </w:r>
    <w:r w:rsidRPr="00B940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856DD" w14:textId="77777777" w:rsidR="007F2829" w:rsidRDefault="007F2829" w:rsidP="00C6296D">
      <w:r>
        <w:separator/>
      </w:r>
    </w:p>
  </w:footnote>
  <w:footnote w:type="continuationSeparator" w:id="0">
    <w:p w14:paraId="4BAD7CC7" w14:textId="77777777" w:rsidR="007F2829" w:rsidRDefault="007F2829" w:rsidP="00C6296D">
      <w:r>
        <w:continuationSeparator/>
      </w:r>
    </w:p>
  </w:footnote>
  <w:footnote w:type="continuationNotice" w:id="1">
    <w:p w14:paraId="53A98AC6" w14:textId="77777777" w:rsidR="00CE7CF9" w:rsidRDefault="00CE7CF9"/>
  </w:footnote>
  <w:footnote w:id="2">
    <w:p w14:paraId="4DC95DF4" w14:textId="72D5CB7D" w:rsidR="00823D3E" w:rsidRPr="006A4EFE" w:rsidRDefault="00823D3E" w:rsidP="00C6296D">
      <w:pPr>
        <w:pStyle w:val="FootnoteText"/>
      </w:pPr>
      <w:r w:rsidRPr="006A4EFE">
        <w:rPr>
          <w:rStyle w:val="FootnoteReference"/>
          <w:lang w:val="en-GB"/>
        </w:rPr>
        <w:footnoteRef/>
      </w:r>
      <w:r w:rsidRPr="006A4EFE">
        <w:t xml:space="preserve"> NIWA is the National Institute of Water and Atmospheric Research, a Crown Research Institute.</w:t>
      </w:r>
      <w:r>
        <w:t xml:space="preserve"> As of 1 July 2025, NIWA and GNS</w:t>
      </w:r>
      <w:r w:rsidRPr="00823D3E">
        <w:t xml:space="preserve"> Science </w:t>
      </w:r>
      <w:r>
        <w:t xml:space="preserve">have been merged into a new entity, </w:t>
      </w:r>
      <w:r w:rsidRPr="00823D3E">
        <w:t>Earth Sciences New Zealand</w:t>
      </w:r>
      <w:r>
        <w:t>.</w:t>
      </w:r>
    </w:p>
  </w:footnote>
  <w:footnote w:id="3">
    <w:p w14:paraId="20BF787F" w14:textId="5193A891" w:rsidR="00823D3E" w:rsidRDefault="00823D3E" w:rsidP="00C6296D">
      <w:pPr>
        <w:pStyle w:val="FootnoteText"/>
      </w:pPr>
      <w:r>
        <w:rPr>
          <w:rStyle w:val="FootnoteReference"/>
        </w:rPr>
        <w:footnoteRef/>
      </w:r>
      <w:r>
        <w:t xml:space="preserve"> </w:t>
      </w:r>
      <w:r w:rsidRPr="00823D3E">
        <w:t xml:space="preserve"> User Guidance of CMIP6 Downscaled Data for Aotearoa New Zealand</w:t>
      </w:r>
      <w:r>
        <w:t>.</w:t>
      </w:r>
    </w:p>
    <w:p w14:paraId="02E3EB81" w14:textId="359470ED" w:rsidR="00823D3E" w:rsidRPr="00823D3E" w:rsidRDefault="00823D3E" w:rsidP="00C6296D">
      <w:pPr>
        <w:pStyle w:val="FootnoteText"/>
      </w:pPr>
      <w:hyperlink r:id="rId1" w:history="1">
        <w:r w:rsidRPr="007F010A">
          <w:rPr>
            <w:rStyle w:val="Hyperlink"/>
            <w:lang w:val="en-NZ"/>
          </w:rPr>
          <w:t>https://climatedata.environment.govt.nz/files/CMIP6_guidance_doc_June2024.pdf</w:t>
        </w:r>
      </w:hyperlink>
      <w:r>
        <w:t xml:space="preserve"> </w:t>
      </w:r>
    </w:p>
  </w:footnote>
  <w:footnote w:id="4">
    <w:p w14:paraId="76AF6DEE" w14:textId="235DE421" w:rsidR="00136016" w:rsidRDefault="00136016" w:rsidP="00C6296D">
      <w:pPr>
        <w:pStyle w:val="FootnoteText"/>
      </w:pPr>
      <w:r>
        <w:rPr>
          <w:rStyle w:val="FootnoteReference"/>
        </w:rPr>
        <w:footnoteRef/>
      </w:r>
      <w:r>
        <w:t xml:space="preserve"> NIWA makes additional raw data available directly. </w:t>
      </w:r>
    </w:p>
    <w:p w14:paraId="7CE4D43F" w14:textId="72C24EFC" w:rsidR="00136016" w:rsidRPr="00136016" w:rsidRDefault="00136016" w:rsidP="00C6296D">
      <w:pPr>
        <w:pStyle w:val="FootnoteText"/>
      </w:pPr>
      <w:hyperlink r:id="rId2" w:history="1">
        <w:r w:rsidRPr="007F010A">
          <w:rPr>
            <w:rStyle w:val="Hyperlink"/>
            <w:lang w:val="en-NZ"/>
          </w:rPr>
          <w:t>https://niwa.co.nz/climate-and-weather/updated-national-climate-projections-new-zealand</w:t>
        </w:r>
      </w:hyperlink>
      <w:r>
        <w:t xml:space="preserve"> </w:t>
      </w:r>
    </w:p>
  </w:footnote>
  <w:footnote w:id="5">
    <w:p w14:paraId="5C6135A8" w14:textId="02934C2B" w:rsidR="00A3427F" w:rsidRPr="00A3427F" w:rsidRDefault="00A3427F" w:rsidP="00C6296D">
      <w:pPr>
        <w:pStyle w:val="FootnoteText"/>
      </w:pPr>
      <w:r>
        <w:rPr>
          <w:rStyle w:val="FootnoteReference"/>
        </w:rPr>
        <w:footnoteRef/>
      </w:r>
      <w:r>
        <w:t xml:space="preserve"> </w:t>
      </w:r>
      <w:proofErr w:type="spellStart"/>
      <w:r>
        <w:t>NetCDF</w:t>
      </w:r>
      <w:proofErr w:type="spellEnd"/>
      <w:r>
        <w:t xml:space="preserve"> format: </w:t>
      </w:r>
      <w:hyperlink r:id="rId3" w:history="1">
        <w:r w:rsidRPr="007F010A">
          <w:rPr>
            <w:rStyle w:val="Hyperlink"/>
            <w:lang w:val="en-NZ"/>
          </w:rPr>
          <w:t>https://www.unidata.ucar.edu/software/netcdf/</w:t>
        </w:r>
      </w:hyperlink>
      <w:r>
        <w:t xml:space="preserve"> </w:t>
      </w:r>
    </w:p>
  </w:footnote>
  <w:footnote w:id="6">
    <w:p w14:paraId="0B8BA5A4" w14:textId="2A798195" w:rsidR="00136016" w:rsidRDefault="00136016" w:rsidP="00C6296D">
      <w:pPr>
        <w:pStyle w:val="FootnoteText"/>
      </w:pPr>
      <w:r>
        <w:rPr>
          <w:rStyle w:val="FootnoteReference"/>
        </w:rPr>
        <w:footnoteRef/>
      </w:r>
      <w:r>
        <w:t xml:space="preserve"> </w:t>
      </w:r>
      <w:r w:rsidR="001C5F24">
        <w:t xml:space="preserve">See for example: </w:t>
      </w:r>
    </w:p>
    <w:p w14:paraId="18DDF850" w14:textId="6C6DAF1E" w:rsidR="001C5F24" w:rsidRPr="001C5F24" w:rsidRDefault="001C5F24" w:rsidP="00C6296D">
      <w:pPr>
        <w:pStyle w:val="FootnoteText"/>
      </w:pPr>
      <w:r w:rsidRPr="001C5F24">
        <w:t xml:space="preserve">Tait, A., &amp; Macara, G. (2014). Evaluation of interpolated daily temperature data for high elevation areas in New Zealand. </w:t>
      </w:r>
      <w:r w:rsidRPr="001C5F24">
        <w:rPr>
          <w:i/>
          <w:iCs/>
        </w:rPr>
        <w:t>Weather and Climate, 34</w:t>
      </w:r>
      <w:r w:rsidRPr="001C5F24">
        <w:t xml:space="preserve">, 36-49. </w:t>
      </w:r>
      <w:hyperlink r:id="rId4" w:history="1">
        <w:r w:rsidRPr="001C5F24">
          <w:rPr>
            <w:rStyle w:val="Hyperlink"/>
            <w:lang w:val="en-GB"/>
          </w:rPr>
          <w:t>http://www.jstor.org/stable/26169743</w:t>
        </w:r>
      </w:hyperlink>
      <w:r>
        <w:t xml:space="preserve"> </w:t>
      </w:r>
    </w:p>
    <w:p w14:paraId="4D3F2D4F" w14:textId="52A5DC06" w:rsidR="001C5F24" w:rsidRPr="00136016" w:rsidRDefault="001C5F24" w:rsidP="00C6296D">
      <w:pPr>
        <w:pStyle w:val="FootnoteText"/>
        <w:rPr>
          <w:lang w:val="en-NZ"/>
        </w:rPr>
      </w:pPr>
      <w:r w:rsidRPr="001C5F24">
        <w:t xml:space="preserve">Tait, A., Sturman, J., &amp; Clark, M. (2012). An assessment of the accuracy of interpolated daily rainfall for New Zealand. </w:t>
      </w:r>
      <w:r w:rsidRPr="001C5F24">
        <w:rPr>
          <w:i/>
          <w:iCs/>
        </w:rPr>
        <w:t>Journal of Hydrology (New Zealand), 51</w:t>
      </w:r>
      <w:r w:rsidRPr="001C5F24">
        <w:t xml:space="preserve">(1), 25-44. </w:t>
      </w:r>
      <w:hyperlink r:id="rId5" w:history="1">
        <w:r w:rsidRPr="007F010A">
          <w:rPr>
            <w:rStyle w:val="Hyperlink"/>
            <w:lang w:val="en-GB"/>
          </w:rPr>
          <w:t>http://www.jstor.org.helicon.vuw.ac.nz/stable/43944886</w:t>
        </w:r>
      </w:hyperlink>
      <w:r>
        <w:t xml:space="preserve"> </w:t>
      </w:r>
    </w:p>
  </w:footnote>
  <w:footnote w:id="7">
    <w:p w14:paraId="33614974" w14:textId="51F33E29" w:rsidR="005C4D26" w:rsidRPr="006A4EFE" w:rsidRDefault="00396C7C" w:rsidP="00C6296D">
      <w:pPr>
        <w:pStyle w:val="FootnoteText"/>
      </w:pPr>
      <w:r w:rsidRPr="006A4EFE">
        <w:rPr>
          <w:rStyle w:val="FootnoteReference"/>
          <w:lang w:val="en-GB"/>
        </w:rPr>
        <w:footnoteRef/>
      </w:r>
      <w:r w:rsidRPr="006A4EFE">
        <w:t xml:space="preserve"> </w:t>
      </w:r>
      <w:r>
        <w:t>Technically, r</w:t>
      </w:r>
      <w:r w:rsidRPr="006A4EFE">
        <w:t>esults are produced for a 0.05° latitude/longitude grid covering all New Zealand</w:t>
      </w:r>
      <w:r>
        <w:t>, excluding the offshore islands,</w:t>
      </w:r>
      <w:r w:rsidRPr="006A4EFE">
        <w:t xml:space="preserve"> </w:t>
      </w:r>
      <w:r>
        <w:t>which gives</w:t>
      </w:r>
      <w:r w:rsidRPr="006A4EFE">
        <w:t xml:space="preserve"> a resolution of approximately 5km. </w:t>
      </w:r>
      <w:r w:rsidR="005C4D26">
        <w:t>The VCSN grid has a</w:t>
      </w:r>
      <w:r w:rsidR="005C4D26" w:rsidRPr="00E469A2">
        <w:t>n average of 4.2 km in latitude and 5.5 km in longitude, giving grid cells of 23 km</w:t>
      </w:r>
      <w:r w:rsidR="005C4D26" w:rsidRPr="00E469A2">
        <w:rPr>
          <w:vertAlign w:val="superscript"/>
        </w:rPr>
        <w:t>2</w:t>
      </w:r>
      <w:r w:rsidR="005C4D26" w:rsidRPr="00E469A2">
        <w:t xml:space="preserve">. </w:t>
      </w:r>
      <w:r w:rsidR="005C4D26">
        <w:t>This is an average resolution of 4.</w:t>
      </w:r>
      <w:proofErr w:type="gramStart"/>
      <w:r w:rsidR="005C4D26">
        <w:t>8km, but</w:t>
      </w:r>
      <w:proofErr w:type="gramEnd"/>
      <w:r w:rsidR="005C4D26">
        <w:t xml:space="preserve"> is usually described </w:t>
      </w:r>
      <w:proofErr w:type="gramStart"/>
      <w:r w:rsidR="005C4D26">
        <w:t>as ”approximately</w:t>
      </w:r>
      <w:proofErr w:type="gramEnd"/>
      <w:r w:rsidR="005C4D26">
        <w:t xml:space="preserve"> 5km”. With the curvature of the earth, the grid cells are larger in the north than the south of New Zealand. </w:t>
      </w:r>
    </w:p>
  </w:footnote>
  <w:footnote w:id="8">
    <w:p w14:paraId="0F52BB72" w14:textId="4FD456F6" w:rsidR="002C7AA2" w:rsidRDefault="002C7AA2" w:rsidP="002C7AA2">
      <w:pPr>
        <w:pStyle w:val="FootnoteText"/>
      </w:pPr>
      <w:r>
        <w:rPr>
          <w:rStyle w:val="FootnoteReference"/>
        </w:rPr>
        <w:footnoteRef/>
      </w:r>
      <w:r>
        <w:t xml:space="preserve"> </w:t>
      </w:r>
      <w:r w:rsidRPr="006A0B76">
        <w:t>Geographic Information System</w:t>
      </w:r>
      <w:r>
        <w:t xml:space="preserve"> (GIS). The work described here is done in ArcGIS, from ESRI. </w:t>
      </w:r>
    </w:p>
    <w:p w14:paraId="73EDB377" w14:textId="77777777" w:rsidR="002C7AA2" w:rsidRPr="005C4D26" w:rsidRDefault="002C7AA2" w:rsidP="002C7AA2">
      <w:pPr>
        <w:pStyle w:val="FootnoteText"/>
      </w:pPr>
      <w:hyperlink r:id="rId6" w:history="1">
        <w:r w:rsidRPr="007F010A">
          <w:rPr>
            <w:rStyle w:val="Hyperlink"/>
            <w:lang w:val="en-NZ"/>
          </w:rPr>
          <w:t>https://www.esri.com/en-us/arcgis/geospatial-platform/overview</w:t>
        </w:r>
      </w:hyperlink>
      <w:r>
        <w:t xml:space="preserve"> </w:t>
      </w:r>
    </w:p>
  </w:footnote>
  <w:footnote w:id="9">
    <w:p w14:paraId="3ABEE143" w14:textId="77777777" w:rsidR="001C5F24" w:rsidRDefault="001C5F24" w:rsidP="00C6296D">
      <w:pPr>
        <w:pStyle w:val="FootnoteText"/>
      </w:pPr>
      <w:r>
        <w:rPr>
          <w:rStyle w:val="FootnoteReference"/>
        </w:rPr>
        <w:footnoteRef/>
      </w:r>
      <w:r>
        <w:t xml:space="preserve"> The “lasso method” is a descriptive name for the process and is not the same as the statistical and machine learning regression technique known as lasso </w:t>
      </w:r>
      <w:r>
        <w:rPr>
          <w:rStyle w:val="hgkelc"/>
          <w:lang w:val="en"/>
        </w:rPr>
        <w:t>(least absolute shrinkage and selection operator)</w:t>
      </w:r>
      <w:r>
        <w:t>.</w:t>
      </w:r>
    </w:p>
  </w:footnote>
  <w:footnote w:id="10">
    <w:p w14:paraId="7AE9CCC4" w14:textId="09541BAB" w:rsidR="005C4D26" w:rsidRPr="005C4D26" w:rsidRDefault="005C4D26" w:rsidP="00C6296D">
      <w:pPr>
        <w:pStyle w:val="FootnoteText"/>
      </w:pPr>
      <w:r>
        <w:rPr>
          <w:rStyle w:val="FootnoteReference"/>
        </w:rPr>
        <w:footnoteRef/>
      </w:r>
      <w:r>
        <w:t xml:space="preserve"> </w:t>
      </w:r>
      <w:r w:rsidRPr="005C4D26">
        <w:t xml:space="preserve">McLeod, H., &amp; Renwick, J. (2024). Linking People and Climate: The Extreme Events Climate Index for Aotearoa for Stats NZ geographies and iwi </w:t>
      </w:r>
      <w:proofErr w:type="spellStart"/>
      <w:r w:rsidRPr="005C4D26">
        <w:t>rohe</w:t>
      </w:r>
      <w:proofErr w:type="spellEnd"/>
      <w:r w:rsidRPr="005C4D26">
        <w:t xml:space="preserve">. </w:t>
      </w:r>
      <w:r w:rsidRPr="005C4D26">
        <w:rPr>
          <w:i/>
          <w:iCs/>
        </w:rPr>
        <w:t>New Zealand Population Review, 50</w:t>
      </w:r>
      <w:r w:rsidRPr="005C4D26">
        <w:t xml:space="preserve">, 269-324. </w:t>
      </w:r>
      <w:hyperlink r:id="rId7" w:history="1">
        <w:r w:rsidRPr="007F010A">
          <w:rPr>
            <w:rStyle w:val="Hyperlink"/>
            <w:lang w:val="en-GB"/>
          </w:rPr>
          <w:t>https://population.org.nz/wp-content/uploads/2024/10/NZPR-VOL-50_McLeod-and-Renwick.pdf</w:t>
        </w:r>
      </w:hyperlink>
      <w:r>
        <w:t xml:space="preserve"> </w:t>
      </w:r>
      <w:r w:rsidRPr="005C4D26">
        <w:t xml:space="preserve"> </w:t>
      </w:r>
    </w:p>
  </w:footnote>
  <w:footnote w:id="11">
    <w:p w14:paraId="4D83A0CD" w14:textId="77777777" w:rsidR="00396C7C" w:rsidRDefault="00396C7C" w:rsidP="00C6296D">
      <w:pPr>
        <w:pStyle w:val="FootnoteText"/>
      </w:pPr>
      <w:r>
        <w:rPr>
          <w:rStyle w:val="FootnoteReference"/>
        </w:rPr>
        <w:footnoteRef/>
      </w:r>
      <w:r>
        <w:t xml:space="preserve"> </w:t>
      </w:r>
      <w:r w:rsidRPr="007979F5">
        <w:t xml:space="preserve">Statistical area 2s (SA2) </w:t>
      </w:r>
      <w:r>
        <w:t>are</w:t>
      </w:r>
      <w:r w:rsidRPr="007979F5">
        <w:t xml:space="preserve"> </w:t>
      </w:r>
      <w:proofErr w:type="spellStart"/>
      <w:r w:rsidRPr="007979F5">
        <w:t>recognisable</w:t>
      </w:r>
      <w:proofErr w:type="spellEnd"/>
      <w:r w:rsidRPr="007979F5">
        <w:t xml:space="preserve"> suburbs or rural communities </w:t>
      </w:r>
      <w:r>
        <w:t xml:space="preserve">with </w:t>
      </w:r>
      <w:r w:rsidRPr="007979F5">
        <w:t>1,000</w:t>
      </w:r>
      <w:r>
        <w:t xml:space="preserve"> to </w:t>
      </w:r>
      <w:r w:rsidRPr="007979F5">
        <w:t xml:space="preserve">4,000 people. Territorial authorities (TA) </w:t>
      </w:r>
      <w:r>
        <w:t xml:space="preserve">are districts. TAs </w:t>
      </w:r>
      <w:r w:rsidRPr="007979F5">
        <w:t>and regional councils are separate amalgamations of SA2 areas</w:t>
      </w:r>
      <w:r>
        <w:t>.</w:t>
      </w:r>
    </w:p>
  </w:footnote>
  <w:footnote w:id="12">
    <w:p w14:paraId="148DC219" w14:textId="7BC9D58E" w:rsidR="002C5981" w:rsidRPr="002C5981" w:rsidRDefault="002C5981" w:rsidP="00C6296D">
      <w:pPr>
        <w:pStyle w:val="FootnoteText"/>
        <w:rPr>
          <w:lang w:val="en-NZ"/>
        </w:rPr>
      </w:pPr>
      <w:r>
        <w:rPr>
          <w:rStyle w:val="FootnoteReference"/>
        </w:rPr>
        <w:footnoteRef/>
      </w:r>
      <w:r>
        <w:t xml:space="preserve"> </w:t>
      </w:r>
      <w:r w:rsidRPr="00945514">
        <w:t xml:space="preserve">Whitehead, J., Davie, G., de Graaf, B., </w:t>
      </w:r>
      <w:proofErr w:type="spellStart"/>
      <w:r w:rsidRPr="00945514">
        <w:t>Crengle</w:t>
      </w:r>
      <w:proofErr w:type="spellEnd"/>
      <w:r w:rsidRPr="00945514">
        <w:t xml:space="preserve">, S., Fearnley, D., Smith, M., . . . Nixon, G. (2022). Defining rural in Aotearoa New Zealand: a novel geographic classification for health purposes. </w:t>
      </w:r>
      <w:r w:rsidRPr="00945514">
        <w:rPr>
          <w:i/>
        </w:rPr>
        <w:t>N Z Med J, 135</w:t>
      </w:r>
      <w:r w:rsidRPr="00945514">
        <w:t xml:space="preserve">(1559), 24-40. </w:t>
      </w:r>
      <w:hyperlink r:id="rId8" w:history="1">
        <w:r w:rsidRPr="00945514">
          <w:rPr>
            <w:rStyle w:val="Hyperlink"/>
          </w:rPr>
          <w:t>https://www.ncbi.nlm.nih.gov/pubmed/35999779</w:t>
        </w:r>
      </w:hyperlink>
    </w:p>
  </w:footnote>
  <w:footnote w:id="13">
    <w:p w14:paraId="4B8EADA3" w14:textId="59505135" w:rsidR="002C5981" w:rsidRPr="002C5981" w:rsidRDefault="002C5981" w:rsidP="00C6296D">
      <w:pPr>
        <w:pStyle w:val="FootnoteText"/>
        <w:rPr>
          <w:lang w:val="en-NZ"/>
        </w:rPr>
      </w:pPr>
      <w:r>
        <w:rPr>
          <w:rStyle w:val="FootnoteReference"/>
        </w:rPr>
        <w:footnoteRef/>
      </w:r>
      <w:r>
        <w:t xml:space="preserve"> </w:t>
      </w:r>
      <w:r w:rsidRPr="00396C7C">
        <w:t xml:space="preserve">The origin of the </w:t>
      </w:r>
      <w:r>
        <w:t xml:space="preserve">NIWA climate zone </w:t>
      </w:r>
      <w:r w:rsidRPr="00396C7C">
        <w:t xml:space="preserve">schema is attributed to Kidson &amp; Renwick </w:t>
      </w:r>
      <w:r w:rsidRPr="00396C7C">
        <w:fldChar w:fldCharType="begin"/>
      </w:r>
      <w:r w:rsidRPr="00396C7C">
        <w:instrText xml:space="preserve"> ADDIN EN.CITE &lt;EndNote&gt;&lt;Cite ExcludeAuth="1"&gt;&lt;Author&gt;Kidson&lt;/Author&gt;&lt;Year&gt;2002&lt;/Year&gt;&lt;RecNum&gt;1697&lt;/RecNum&gt;&lt;DisplayText&gt;(2002)&lt;/DisplayText&gt;&lt;record&gt;&lt;rec-number&gt;1697&lt;/rec-number&gt;&lt;foreign-keys&gt;&lt;key app="EN" db-id="dww0efarqdpf28e90fox0zp6v5z5szvf9pdp" timestamp="1638233834"&gt;1697&lt;/key&gt;&lt;/foreign-keys&gt;&lt;ref-type name="Journal Article"&gt;17&lt;/ref-type&gt;&lt;contributors&gt;&lt;authors&gt;&lt;author&gt;Kidson, John W.&lt;/author&gt;&lt;author&gt;Renwick, James A.&lt;/author&gt;&lt;/authors&gt;&lt;/contributors&gt;&lt;titles&gt;&lt;title&gt;Patterns of convection in the tropical pacific and their influence on New Zealand weather&lt;/title&gt;&lt;secondary-title&gt;International Journal of Climatology&lt;/secondary-title&gt;&lt;/titles&gt;&lt;periodical&gt;&lt;full-title&gt;International Journal of Climatology&lt;/full-title&gt;&lt;/periodical&gt;&lt;pages&gt;151-174&lt;/pages&gt;&lt;volume&gt;22&lt;/volume&gt;&lt;number&gt;2&lt;/number&gt;&lt;dates&gt;&lt;year&gt;2002&lt;/year&gt;&lt;/dates&gt;&lt;isbn&gt;0899-8418&lt;/isbn&gt;&lt;urls&gt;&lt;related-urls&gt;&lt;url&gt;https://rmets.onlinelibrary.wiley.com/doi/abs/10.1002/joc.737&lt;/url&gt;&lt;/related-urls&gt;&lt;/urls&gt;&lt;electronic-resource-num&gt;https://doi.org/10.1002/joc.737&lt;/electronic-resource-num&gt;&lt;/record&gt;&lt;/Cite&gt;&lt;/EndNote&gt;</w:instrText>
      </w:r>
      <w:r w:rsidRPr="00396C7C">
        <w:fldChar w:fldCharType="separate"/>
      </w:r>
      <w:r w:rsidRPr="00396C7C">
        <w:rPr>
          <w:noProof/>
        </w:rPr>
        <w:t>(2002)</w:t>
      </w:r>
      <w:r w:rsidRPr="00396C7C">
        <w:fldChar w:fldCharType="end"/>
      </w:r>
      <w:r w:rsidRPr="00396C7C">
        <w:t xml:space="preserve">, drawing on earlier analysis by Mullan </w:t>
      </w:r>
      <w:r w:rsidRPr="00396C7C">
        <w:fldChar w:fldCharType="begin"/>
      </w:r>
      <w:r w:rsidRPr="00396C7C">
        <w:instrText xml:space="preserve"> ADDIN EN.CITE &lt;EndNote&gt;&lt;Cite ExcludeAuth="1"&gt;&lt;Author&gt;Mullan&lt;/Author&gt;&lt;Year&gt;1998&lt;/Year&gt;&lt;RecNum&gt;1698&lt;/RecNum&gt;&lt;DisplayText&gt;(1998)&lt;/DisplayText&gt;&lt;record&gt;&lt;rec-number&gt;1698&lt;/rec-number&gt;&lt;foreign-keys&gt;&lt;key app="EN" db-id="dww0efarqdpf28e90fox0zp6v5z5szvf9pdp" timestamp="1638234307"&gt;1698&lt;/key&gt;&lt;/foreign-keys&gt;&lt;ref-type name="Journal Article"&gt;17&lt;/ref-type&gt;&lt;contributors&gt;&lt;authors&gt;&lt;author&gt;Mullan, A. B.&lt;/author&gt;&lt;/authors&gt;&lt;/contributors&gt;&lt;titles&gt;&lt;title&gt;Southern hemisphere sea-surface temperatures and their contemporary and lag association with New Zealand temperature and precipitation&lt;/title&gt;&lt;secondary-title&gt;International Journal of Climatology&lt;/secondary-title&gt;&lt;/titles&gt;&lt;periodical&gt;&lt;full-title&gt;International Journal of Climatology&lt;/full-title&gt;&lt;/periodical&gt;&lt;pages&gt;817-840&lt;/pages&gt;&lt;volume&gt;18&lt;/volume&gt;&lt;number&gt;8&lt;/number&gt;&lt;dates&gt;&lt;year&gt;1998&lt;/year&gt;&lt;/dates&gt;&lt;isbn&gt;0899-8418&lt;/isbn&gt;&lt;urls&gt;&lt;related-urls&gt;&lt;url&gt;https://rmets.onlinelibrary.wiley.com/doi/abs/10.1002/%28SICI%291097-0088%2819980630%2918%3A8%3C817%3A%3AAID-JOC261%3E3.0.CO%3B2-E&lt;/url&gt;&lt;/related-urls&gt;&lt;/urls&gt;&lt;electronic-resource-num&gt;https://doi.org/10.1002/(SICI)1097-0088(19980630)18:8&amp;lt;817::AID-JOC261&amp;gt;3.0.CO;2-E&lt;/electronic-resource-num&gt;&lt;/record&gt;&lt;/Cite&gt;&lt;/EndNote&gt;</w:instrText>
      </w:r>
      <w:r w:rsidRPr="00396C7C">
        <w:fldChar w:fldCharType="separate"/>
      </w:r>
      <w:r w:rsidRPr="00396C7C">
        <w:rPr>
          <w:noProof/>
        </w:rPr>
        <w:t>(1998)</w:t>
      </w:r>
      <w:r w:rsidRPr="00396C7C">
        <w:fldChar w:fldCharType="end"/>
      </w:r>
      <w:r>
        <w:t>.</w:t>
      </w:r>
    </w:p>
  </w:footnote>
  <w:footnote w:id="14">
    <w:p w14:paraId="2D3D3981" w14:textId="68AD6502" w:rsidR="002C5981" w:rsidRPr="002C5981" w:rsidRDefault="002C5981" w:rsidP="00C6296D">
      <w:pPr>
        <w:pStyle w:val="FootnoteText"/>
        <w:rPr>
          <w:lang w:val="en-NZ"/>
        </w:rPr>
      </w:pPr>
      <w:r>
        <w:rPr>
          <w:rStyle w:val="FootnoteReference"/>
        </w:rPr>
        <w:footnoteRef/>
      </w:r>
      <w:r>
        <w:t xml:space="preserve"> </w:t>
      </w:r>
      <w:r w:rsidRPr="00945514">
        <w:t xml:space="preserve">Ministry for the Environment. (2019). </w:t>
      </w:r>
      <w:proofErr w:type="spellStart"/>
      <w:r w:rsidRPr="00945514">
        <w:rPr>
          <w:i/>
        </w:rPr>
        <w:t>Arotakenga</w:t>
      </w:r>
      <w:proofErr w:type="spellEnd"/>
      <w:r w:rsidRPr="00945514">
        <w:rPr>
          <w:i/>
        </w:rPr>
        <w:t xml:space="preserve"> </w:t>
      </w:r>
      <w:proofErr w:type="spellStart"/>
      <w:r w:rsidRPr="00945514">
        <w:rPr>
          <w:i/>
        </w:rPr>
        <w:t>Huringa</w:t>
      </w:r>
      <w:proofErr w:type="spellEnd"/>
      <w:r w:rsidRPr="00945514">
        <w:rPr>
          <w:i/>
        </w:rPr>
        <w:t xml:space="preserve"> </w:t>
      </w:r>
      <w:proofErr w:type="spellStart"/>
      <w:r w:rsidRPr="00945514">
        <w:rPr>
          <w:i/>
        </w:rPr>
        <w:t>Āhuarangi</w:t>
      </w:r>
      <w:proofErr w:type="spellEnd"/>
      <w:r w:rsidRPr="00945514">
        <w:rPr>
          <w:i/>
        </w:rPr>
        <w:t>: A Framework for the National Climate Change Risk Assessment for Aotearoa New Zealand</w:t>
      </w:r>
      <w:r w:rsidRPr="00945514">
        <w:t xml:space="preserve">. </w:t>
      </w:r>
      <w:hyperlink r:id="rId9" w:history="1">
        <w:r w:rsidRPr="00945514">
          <w:rPr>
            <w:rStyle w:val="Hyperlink"/>
          </w:rPr>
          <w:t>https://environment.govt.nz/publications/arotakenga-huringa-ahuarangi-a-framework-for-the-national-climate-change-risk-assessment-for-aotearoa-new-zealand/</w:t>
        </w:r>
      </w:hyperlink>
    </w:p>
  </w:footnote>
  <w:footnote w:id="15">
    <w:p w14:paraId="54CDDF16" w14:textId="1CD67D2C" w:rsidR="00D817C1" w:rsidRPr="00D817C1" w:rsidRDefault="00D817C1" w:rsidP="00C6296D">
      <w:pPr>
        <w:pStyle w:val="FootnoteText"/>
        <w:rPr>
          <w:lang w:val="en-NZ"/>
        </w:rPr>
      </w:pPr>
      <w:r>
        <w:rPr>
          <w:rStyle w:val="FootnoteReference"/>
        </w:rPr>
        <w:footnoteRef/>
      </w:r>
      <w:r>
        <w:t xml:space="preserve"> </w:t>
      </w:r>
      <w:hyperlink r:id="rId10" w:history="1">
        <w:r w:rsidRPr="007F010A">
          <w:rPr>
            <w:rStyle w:val="Hyperlink"/>
          </w:rPr>
          <w:t>https://www.otago.ac.nz/wellington/research/groups/research-groups-in-the-department-of-public-health/hirp/socioeconomic-deprivation-indexes-nzdep-and-nzidep-department-of-public-health</w:t>
        </w:r>
      </w:hyperlink>
      <w:r>
        <w:t xml:space="preserve"> </w:t>
      </w:r>
    </w:p>
  </w:footnote>
  <w:footnote w:id="16">
    <w:p w14:paraId="7073B2F2" w14:textId="4867E3EB" w:rsidR="00D912B5" w:rsidRPr="00D912B5" w:rsidRDefault="00D912B5" w:rsidP="00C6296D">
      <w:pPr>
        <w:pStyle w:val="FootnoteText"/>
        <w:rPr>
          <w:lang w:val="en-NZ"/>
        </w:rPr>
      </w:pPr>
      <w:r>
        <w:rPr>
          <w:rStyle w:val="FootnoteReference"/>
        </w:rPr>
        <w:footnoteRef/>
      </w:r>
      <w:r>
        <w:t xml:space="preserve"> </w:t>
      </w:r>
      <w:r>
        <w:rPr>
          <w:rStyle w:val="FootnoteTextChar"/>
        </w:rPr>
        <w:t>The following tables have been produced:</w:t>
      </w:r>
      <w:r w:rsidRPr="00271C8D">
        <w:rPr>
          <w:rStyle w:val="FootnoteTextChar"/>
        </w:rPr>
        <w:t xml:space="preserve"> NZDep91, NZDep96, NZDep2001, NZDep2006, NZDep2013</w:t>
      </w:r>
      <w:r>
        <w:rPr>
          <w:rStyle w:val="FootnoteTextChar"/>
        </w:rPr>
        <w:t>,</w:t>
      </w:r>
      <w:r w:rsidRPr="00271C8D">
        <w:rPr>
          <w:rStyle w:val="FootnoteTextChar"/>
        </w:rPr>
        <w:t xml:space="preserve"> NZDep2018</w:t>
      </w:r>
      <w:r>
        <w:rPr>
          <w:rStyle w:val="FootnoteTextChar"/>
        </w:rPr>
        <w:t>, and NZDep2023</w:t>
      </w:r>
      <w:r w:rsidRPr="00271C8D">
        <w:rPr>
          <w:rStyle w:val="FootnoteTextChar"/>
        </w:rPr>
        <w:t>.</w:t>
      </w:r>
      <w:r>
        <w:rPr>
          <w:rStyle w:val="FootnoteTextChar"/>
        </w:rPr>
        <w:t xml:space="preserve"> Census 2023 was used to construct NZDep2023.</w:t>
      </w:r>
    </w:p>
  </w:footnote>
  <w:footnote w:id="17">
    <w:p w14:paraId="56078E6B" w14:textId="7F5B5DA1" w:rsidR="00D817C1" w:rsidRPr="00D912B5" w:rsidRDefault="00D912B5" w:rsidP="00C6296D">
      <w:pPr>
        <w:pStyle w:val="FootnoteText"/>
      </w:pPr>
      <w:r>
        <w:rPr>
          <w:rStyle w:val="FootnoteReference"/>
        </w:rPr>
        <w:footnoteRef/>
      </w:r>
      <w:r>
        <w:t xml:space="preserve"> NZDep2023 Index of Socioeconomic Deprivation: Research Report</w:t>
      </w:r>
      <w:r w:rsidR="008778A3">
        <w:t xml:space="preserve">. </w:t>
      </w:r>
      <w:hyperlink r:id="rId11" w:history="1">
        <w:r w:rsidR="008778A3" w:rsidRPr="007F010A">
          <w:rPr>
            <w:rStyle w:val="Hyperlink"/>
            <w:lang w:val="en-NZ"/>
          </w:rPr>
          <w:t>https://www.otago.ac.nz/ __data/assets/pdf_file/0026/593135/NZDep2023-Research-Report-31-October-2024.pdf</w:t>
        </w:r>
      </w:hyperlink>
      <w:r w:rsidR="00D817C1">
        <w:t xml:space="preserve"> </w:t>
      </w:r>
    </w:p>
  </w:footnote>
  <w:footnote w:id="18">
    <w:p w14:paraId="7235CFEB" w14:textId="0A405791" w:rsidR="008778A3" w:rsidRPr="008778A3" w:rsidRDefault="00D817C1" w:rsidP="00C6296D">
      <w:pPr>
        <w:pStyle w:val="FootnoteText"/>
      </w:pPr>
      <w:r>
        <w:rPr>
          <w:rStyle w:val="FootnoteReference"/>
        </w:rPr>
        <w:footnoteRef/>
      </w:r>
      <w:r>
        <w:t xml:space="preserve"> </w:t>
      </w:r>
      <w:r w:rsidRPr="00945514">
        <w:t xml:space="preserve">Mason, K., Lindberg, K., </w:t>
      </w:r>
      <w:proofErr w:type="spellStart"/>
      <w:r w:rsidRPr="00945514">
        <w:t>Haenfling</w:t>
      </w:r>
      <w:proofErr w:type="spellEnd"/>
      <w:r w:rsidRPr="00945514">
        <w:t xml:space="preserve">, C., Schori, A., Marsters, H., Read, D., &amp; Borman, B. (2021). Social Vulnerability Indicators for Flooding in Aotearoa New Zealand. </w:t>
      </w:r>
      <w:r w:rsidRPr="00945514">
        <w:rPr>
          <w:i/>
        </w:rPr>
        <w:t>International Journal of Environmental Research and Public Health, 18</w:t>
      </w:r>
      <w:r w:rsidRPr="00945514">
        <w:t xml:space="preserve">(8), 3952. </w:t>
      </w:r>
      <w:hyperlink r:id="rId12" w:history="1">
        <w:r w:rsidRPr="00945514">
          <w:rPr>
            <w:rStyle w:val="Hyperlink"/>
          </w:rPr>
          <w:t>https://www.mdpi.com/1660-4601/18/8/3952</w:t>
        </w:r>
      </w:hyperlink>
      <w:r>
        <w:t xml:space="preserve"> </w:t>
      </w:r>
    </w:p>
  </w:footnote>
  <w:footnote w:id="19">
    <w:p w14:paraId="6560ABB0" w14:textId="43FE34E7" w:rsidR="008778A3" w:rsidRDefault="008778A3" w:rsidP="00C6296D">
      <w:pPr>
        <w:pStyle w:val="FootnoteText"/>
      </w:pPr>
      <w:r>
        <w:rPr>
          <w:rStyle w:val="FootnoteReference"/>
        </w:rPr>
        <w:footnoteRef/>
      </w:r>
      <w:r>
        <w:t xml:space="preserve"> </w:t>
      </w:r>
      <w:r w:rsidRPr="008778A3">
        <w:t>Social vulnerability to the impacts of climate-related hazards in Aotearoa New Zealand</w:t>
      </w:r>
    </w:p>
    <w:p w14:paraId="0671A852" w14:textId="087235AB" w:rsidR="008778A3" w:rsidRPr="008778A3" w:rsidRDefault="008778A3" w:rsidP="00C6296D">
      <w:pPr>
        <w:pStyle w:val="FootnoteText"/>
      </w:pPr>
      <w:hyperlink r:id="rId13" w:history="1">
        <w:r w:rsidRPr="007F010A">
          <w:rPr>
            <w:rStyle w:val="Hyperlink"/>
            <w:lang w:val="en-NZ"/>
          </w:rPr>
          <w:t>https://www.climatecommission.govt.nz/assets/Monitoring-and-reporting/NAPPA-2024/3.a-EHINZ_Social-vulnerability-to-the-impacts-of-climate-related-hazards.pdf</w:t>
        </w:r>
      </w:hyperlink>
      <w:r>
        <w:t xml:space="preserve"> </w:t>
      </w:r>
    </w:p>
  </w:footnote>
  <w:footnote w:id="20">
    <w:p w14:paraId="3EDF25CA" w14:textId="77777777" w:rsidR="008778A3" w:rsidRPr="008778A3" w:rsidRDefault="008778A3" w:rsidP="00C6296D">
      <w:pPr>
        <w:pStyle w:val="FootnoteText"/>
        <w:rPr>
          <w:b/>
          <w:bCs/>
        </w:rPr>
      </w:pPr>
      <w:r>
        <w:rPr>
          <w:rStyle w:val="FootnoteReference"/>
        </w:rPr>
        <w:footnoteRef/>
      </w:r>
      <w:r>
        <w:t xml:space="preserve"> </w:t>
      </w:r>
      <w:r w:rsidRPr="008778A3">
        <w:t>Social vulnerability indicators for 2023</w:t>
      </w:r>
    </w:p>
    <w:p w14:paraId="2C2C79F8" w14:textId="11B97F24" w:rsidR="008778A3" w:rsidRPr="008778A3" w:rsidRDefault="008778A3" w:rsidP="00C6296D">
      <w:pPr>
        <w:pStyle w:val="FootnoteText"/>
        <w:rPr>
          <w:lang w:val="en-NZ"/>
        </w:rPr>
      </w:pPr>
      <w:hyperlink r:id="rId14" w:history="1">
        <w:r w:rsidRPr="007F010A">
          <w:rPr>
            <w:rStyle w:val="Hyperlink"/>
          </w:rPr>
          <w:t>https://www.ehinz.ac.nz/social-vulnerability/social-vulnerability-indicators-for-2023/</w:t>
        </w:r>
      </w:hyperlink>
      <w:r>
        <w:t xml:space="preserve"> </w:t>
      </w:r>
    </w:p>
  </w:footnote>
  <w:footnote w:id="21">
    <w:p w14:paraId="2A9CA69C" w14:textId="77777777" w:rsidR="00D62E6D" w:rsidRPr="005C4D26" w:rsidRDefault="00D62E6D" w:rsidP="00C6296D">
      <w:pPr>
        <w:pStyle w:val="FootnoteText"/>
      </w:pPr>
      <w:r>
        <w:rPr>
          <w:rStyle w:val="FootnoteReference"/>
        </w:rPr>
        <w:footnoteRef/>
      </w:r>
      <w:r>
        <w:t xml:space="preserve"> </w:t>
      </w:r>
      <w:r w:rsidRPr="005C4D26">
        <w:t xml:space="preserve">McLeod, H., &amp; Renwick, J. (2024). Linking People and Climate: The Extreme Events Climate Index for Aotearoa for Stats NZ geographies and iwi </w:t>
      </w:r>
      <w:proofErr w:type="spellStart"/>
      <w:r w:rsidRPr="005C4D26">
        <w:t>rohe</w:t>
      </w:r>
      <w:proofErr w:type="spellEnd"/>
      <w:r w:rsidRPr="005C4D26">
        <w:t xml:space="preserve">. </w:t>
      </w:r>
      <w:r w:rsidRPr="005C4D26">
        <w:rPr>
          <w:i/>
          <w:iCs/>
        </w:rPr>
        <w:t>New Zealand Population Review, 50</w:t>
      </w:r>
      <w:r w:rsidRPr="005C4D26">
        <w:t xml:space="preserve">, 269-324. </w:t>
      </w:r>
      <w:hyperlink r:id="rId15" w:history="1">
        <w:r w:rsidRPr="007F010A">
          <w:rPr>
            <w:rStyle w:val="Hyperlink"/>
            <w:lang w:val="en-GB"/>
          </w:rPr>
          <w:t>https://population.org.nz/wp-content/uploads/2024/10/NZPR-VOL-50_McLeod-and-Renwick.pdf</w:t>
        </w:r>
      </w:hyperlink>
      <w:r>
        <w:t xml:space="preserve"> </w:t>
      </w:r>
      <w:r w:rsidRPr="005C4D26">
        <w:t xml:space="preserve"> </w:t>
      </w:r>
    </w:p>
  </w:footnote>
  <w:footnote w:id="22">
    <w:p w14:paraId="0F11A9E3" w14:textId="23AD41F0" w:rsidR="00D62E6D" w:rsidRPr="00D62E6D" w:rsidRDefault="00D62E6D" w:rsidP="00C6296D">
      <w:pPr>
        <w:pStyle w:val="FootnoteText"/>
      </w:pPr>
      <w:r>
        <w:rPr>
          <w:rStyle w:val="FootnoteReference"/>
        </w:rPr>
        <w:footnoteRef/>
      </w:r>
      <w:r>
        <w:t xml:space="preserve"> In some fields these are known as Voronoi polygons</w:t>
      </w:r>
      <w:r w:rsidR="00FD7B03">
        <w:t xml:space="preserve">, or as </w:t>
      </w:r>
      <w:r w:rsidR="00FD7B03" w:rsidRPr="00396C7C">
        <w:t>Voronoi diagrams or Voronoi tessellation</w:t>
      </w:r>
      <w:r w:rsidR="00FD7B03">
        <w:t>.</w:t>
      </w:r>
    </w:p>
  </w:footnote>
  <w:footnote w:id="23">
    <w:p w14:paraId="5AFDBB89" w14:textId="495FBB9D" w:rsidR="004D1EED" w:rsidRPr="004D1EED" w:rsidRDefault="00FE585B" w:rsidP="00C6296D">
      <w:pPr>
        <w:pStyle w:val="FootnoteText"/>
      </w:pPr>
      <w:r>
        <w:rPr>
          <w:rStyle w:val="FootnoteReference"/>
        </w:rPr>
        <w:footnoteRef/>
      </w:r>
      <w:r>
        <w:t xml:space="preserve"> The process is described for the 2022 geography for SA2 areas. Thiessen polygons are drawn in ArcGIS around the 11,491 VCSN agents. A p</w:t>
      </w:r>
      <w:r w:rsidRPr="00417C90">
        <w:t xml:space="preserve">airwise intersection of </w:t>
      </w:r>
      <w:r>
        <w:t xml:space="preserve">the </w:t>
      </w:r>
      <w:r w:rsidRPr="00417C90">
        <w:t xml:space="preserve">Thiessen polygons with </w:t>
      </w:r>
      <w:r>
        <w:t xml:space="preserve">the 2,175 </w:t>
      </w:r>
      <w:r w:rsidRPr="00417C90">
        <w:t>SA2 areas</w:t>
      </w:r>
      <w:r>
        <w:t xml:space="preserve"> effectively cuts each SA2 into component pieces, with each piece having an identified agent. The list of 11,491 agents expands to 20,584 SA2-agent combinations. The area of the initial SA2 is </w:t>
      </w:r>
      <w:r w:rsidR="004D1EED">
        <w:t>determined</w:t>
      </w:r>
      <w:r>
        <w:t xml:space="preserve"> (SA2_TotalArea) and the area of the SA2 Thiessen piece is obtained in the intersection (</w:t>
      </w:r>
      <w:proofErr w:type="spellStart"/>
      <w:r>
        <w:t>SHAPE_Area</w:t>
      </w:r>
      <w:proofErr w:type="spellEnd"/>
      <w:r>
        <w:t xml:space="preserve">). The weighting for each SA2-agent piece is calculated as: </w:t>
      </w:r>
      <w:r w:rsidRPr="00417C90">
        <w:t xml:space="preserve">SA2_Weight= </w:t>
      </w:r>
      <w:proofErr w:type="spellStart"/>
      <w:r w:rsidRPr="00417C90">
        <w:t>SHAPE_Area</w:t>
      </w:r>
      <w:proofErr w:type="spellEnd"/>
      <w:r w:rsidRPr="00417C90">
        <w:t>/ SA2_TotalArea</w:t>
      </w:r>
      <w:r>
        <w:t>.</w:t>
      </w:r>
    </w:p>
  </w:footnote>
  <w:footnote w:id="24">
    <w:p w14:paraId="33FED9EC" w14:textId="618F601C" w:rsidR="00CB1027" w:rsidRPr="00CB1027" w:rsidRDefault="00CB1027" w:rsidP="00C6296D">
      <w:pPr>
        <w:pStyle w:val="FootnoteText"/>
      </w:pPr>
      <w:r>
        <w:rPr>
          <w:rStyle w:val="FootnoteReference"/>
        </w:rPr>
        <w:footnoteRef/>
      </w:r>
      <w:r>
        <w:t xml:space="preserve"> In contrast, interpolation techniques would require interpolation of every variable, for every </w:t>
      </w:r>
      <w:proofErr w:type="gramStart"/>
      <w:r>
        <w:t>time period</w:t>
      </w:r>
      <w:proofErr w:type="gramEnd"/>
      <w:r>
        <w:t>.</w:t>
      </w:r>
    </w:p>
  </w:footnote>
  <w:footnote w:id="25">
    <w:p w14:paraId="7F3BE97F" w14:textId="1FE4E935" w:rsidR="00CB1027" w:rsidRPr="00CB1027" w:rsidRDefault="00CB1027" w:rsidP="00C6296D">
      <w:pPr>
        <w:pStyle w:val="FootnoteText"/>
        <w:rPr>
          <w:lang w:val="en-NZ"/>
        </w:rPr>
      </w:pPr>
      <w:r>
        <w:rPr>
          <w:rStyle w:val="FootnoteReference"/>
        </w:rPr>
        <w:footnoteRef/>
      </w:r>
      <w:r>
        <w:t xml:space="preserve"> </w:t>
      </w:r>
      <w:r w:rsidRPr="00CB1027">
        <w:t xml:space="preserve">Stats NZ. (2022). Statistical standard for geographic areas 2023. </w:t>
      </w:r>
      <w:hyperlink r:id="rId16" w:history="1">
        <w:r w:rsidRPr="007F010A">
          <w:rPr>
            <w:rStyle w:val="Hyperlink"/>
          </w:rPr>
          <w:t>https://www.stats.govt.nz/methods/statistical-standard-for-geographic-areas-2023/</w:t>
        </w:r>
      </w:hyperlink>
      <w:r>
        <w:t xml:space="preserve"> </w:t>
      </w:r>
    </w:p>
  </w:footnote>
  <w:footnote w:id="26">
    <w:p w14:paraId="47AB4B78" w14:textId="4991DA27" w:rsidR="008B4450" w:rsidRPr="008B4450" w:rsidRDefault="008B4450" w:rsidP="00C6296D">
      <w:pPr>
        <w:pStyle w:val="FootnoteText"/>
        <w:rPr>
          <w:lang w:val="en-NZ"/>
        </w:rPr>
      </w:pPr>
      <w:r>
        <w:rPr>
          <w:rStyle w:val="FootnoteReference"/>
        </w:rPr>
        <w:footnoteRef/>
      </w:r>
      <w:r>
        <w:t xml:space="preserve"> The list of 20,584 SA2-agent combinations is indexed, then used to expand the results file with multiple copies for agents that are used more than once. This expands the dataset temporarily from 11,491 blocks of results to 20,584 blocks of results. A weighted collapse of the layers, using the weights derived above, reduces the results to 2,175 blocks of results, one block for each SA2 area. The collapse of the weights is checked to ensure that the total is equal to one for each SA2.</w:t>
      </w:r>
    </w:p>
  </w:footnote>
  <w:footnote w:id="27">
    <w:p w14:paraId="5B3C1106" w14:textId="6814CA92" w:rsidR="00CE587D" w:rsidRDefault="00CE587D" w:rsidP="00C6296D">
      <w:pPr>
        <w:pStyle w:val="FootnoteText"/>
      </w:pPr>
      <w:r>
        <w:rPr>
          <w:rStyle w:val="FootnoteReference"/>
        </w:rPr>
        <w:footnoteRef/>
      </w:r>
      <w:r>
        <w:t xml:space="preserve"> Stats NZ geographies can be </w:t>
      </w:r>
      <w:proofErr w:type="spellStart"/>
      <w:r>
        <w:t>visualised</w:t>
      </w:r>
      <w:proofErr w:type="spellEnd"/>
      <w:r>
        <w:t xml:space="preserve"> on the Geographic Boundary Viewer:</w:t>
      </w:r>
    </w:p>
    <w:p w14:paraId="681E7B6A" w14:textId="558B8219" w:rsidR="00CE587D" w:rsidRPr="00CE587D" w:rsidRDefault="00CE587D" w:rsidP="00C6296D">
      <w:pPr>
        <w:pStyle w:val="FootnoteText"/>
      </w:pPr>
      <w:hyperlink r:id="rId17" w:history="1">
        <w:r w:rsidRPr="007F010A">
          <w:rPr>
            <w:rStyle w:val="Hyperlink"/>
            <w:lang w:val="en-NZ"/>
          </w:rPr>
          <w:t>https://www.stats.govt.nz/geographic-boundary-viewer/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73554"/>
    <w:multiLevelType w:val="hybridMultilevel"/>
    <w:tmpl w:val="E946D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A51E47"/>
    <w:multiLevelType w:val="hybridMultilevel"/>
    <w:tmpl w:val="DE0C1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675CC4"/>
    <w:multiLevelType w:val="hybridMultilevel"/>
    <w:tmpl w:val="346A2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023645">
    <w:abstractNumId w:val="1"/>
  </w:num>
  <w:num w:numId="2" w16cid:durableId="1874070712">
    <w:abstractNumId w:val="0"/>
  </w:num>
  <w:num w:numId="3" w16cid:durableId="59401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88"/>
    <w:rsid w:val="0000438A"/>
    <w:rsid w:val="00006B1C"/>
    <w:rsid w:val="000077AE"/>
    <w:rsid w:val="0002258D"/>
    <w:rsid w:val="000267A7"/>
    <w:rsid w:val="00027DFC"/>
    <w:rsid w:val="00041E1F"/>
    <w:rsid w:val="0005C9A1"/>
    <w:rsid w:val="000F7DA0"/>
    <w:rsid w:val="00136016"/>
    <w:rsid w:val="00164CE1"/>
    <w:rsid w:val="00166CAF"/>
    <w:rsid w:val="001A5FC3"/>
    <w:rsid w:val="001C5C46"/>
    <w:rsid w:val="001C5F24"/>
    <w:rsid w:val="001E7B03"/>
    <w:rsid w:val="002550B4"/>
    <w:rsid w:val="002B17FC"/>
    <w:rsid w:val="002C5981"/>
    <w:rsid w:val="002C7AA2"/>
    <w:rsid w:val="00302BC7"/>
    <w:rsid w:val="00396C7C"/>
    <w:rsid w:val="003E0AA5"/>
    <w:rsid w:val="003E469F"/>
    <w:rsid w:val="00445A08"/>
    <w:rsid w:val="004507C5"/>
    <w:rsid w:val="004C0438"/>
    <w:rsid w:val="004D1EED"/>
    <w:rsid w:val="004F43D8"/>
    <w:rsid w:val="00530CBD"/>
    <w:rsid w:val="0053567A"/>
    <w:rsid w:val="005C3CE2"/>
    <w:rsid w:val="005C4D26"/>
    <w:rsid w:val="006A0B76"/>
    <w:rsid w:val="006C066D"/>
    <w:rsid w:val="006E0BD0"/>
    <w:rsid w:val="006F4CEF"/>
    <w:rsid w:val="00720BEA"/>
    <w:rsid w:val="00724C87"/>
    <w:rsid w:val="00753756"/>
    <w:rsid w:val="00774894"/>
    <w:rsid w:val="007767AF"/>
    <w:rsid w:val="00795F88"/>
    <w:rsid w:val="007A16EB"/>
    <w:rsid w:val="007F2829"/>
    <w:rsid w:val="0081221B"/>
    <w:rsid w:val="00823D3E"/>
    <w:rsid w:val="00845F2E"/>
    <w:rsid w:val="008778A3"/>
    <w:rsid w:val="008B4450"/>
    <w:rsid w:val="008C57E8"/>
    <w:rsid w:val="0091312A"/>
    <w:rsid w:val="009B2776"/>
    <w:rsid w:val="009D05BB"/>
    <w:rsid w:val="00A11DE5"/>
    <w:rsid w:val="00A3427F"/>
    <w:rsid w:val="00A75FA7"/>
    <w:rsid w:val="00AD1E46"/>
    <w:rsid w:val="00AE52C6"/>
    <w:rsid w:val="00B51494"/>
    <w:rsid w:val="00B94091"/>
    <w:rsid w:val="00BB059C"/>
    <w:rsid w:val="00BB7A3A"/>
    <w:rsid w:val="00C11BE2"/>
    <w:rsid w:val="00C30D86"/>
    <w:rsid w:val="00C54A6A"/>
    <w:rsid w:val="00C6249F"/>
    <w:rsid w:val="00C6296D"/>
    <w:rsid w:val="00CB1027"/>
    <w:rsid w:val="00CE587D"/>
    <w:rsid w:val="00CE7CF9"/>
    <w:rsid w:val="00D43C53"/>
    <w:rsid w:val="00D62E6D"/>
    <w:rsid w:val="00D817C1"/>
    <w:rsid w:val="00D912B5"/>
    <w:rsid w:val="00DA0DC7"/>
    <w:rsid w:val="00DA441E"/>
    <w:rsid w:val="00DD1EAF"/>
    <w:rsid w:val="00DF5A64"/>
    <w:rsid w:val="00E048D4"/>
    <w:rsid w:val="00E107FD"/>
    <w:rsid w:val="00E47078"/>
    <w:rsid w:val="00F005B7"/>
    <w:rsid w:val="00F00F3F"/>
    <w:rsid w:val="00F3756B"/>
    <w:rsid w:val="00FD7B03"/>
    <w:rsid w:val="00FE5795"/>
    <w:rsid w:val="00FE585B"/>
    <w:rsid w:val="00FF5E08"/>
    <w:rsid w:val="14DD2CDB"/>
    <w:rsid w:val="17600E94"/>
    <w:rsid w:val="255E8D6A"/>
    <w:rsid w:val="421FF0D6"/>
    <w:rsid w:val="56E08114"/>
    <w:rsid w:val="5BB55770"/>
    <w:rsid w:val="6365DB95"/>
    <w:rsid w:val="64D49AF0"/>
    <w:rsid w:val="653CF858"/>
    <w:rsid w:val="7261BB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FB38C"/>
  <w15:chartTrackingRefBased/>
  <w15:docId w15:val="{EC12C63D-0D75-4C64-929E-2AC06E25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96D"/>
    <w:pPr>
      <w:spacing w:after="0" w:line="240" w:lineRule="auto"/>
    </w:pPr>
    <w:rPr>
      <w:rFonts w:ascii="Calibri" w:hAnsi="Calibri" w:cs="Calibri"/>
      <w:lang w:val="en-NZ"/>
    </w:rPr>
  </w:style>
  <w:style w:type="paragraph" w:styleId="Heading1">
    <w:name w:val="heading 1"/>
    <w:basedOn w:val="Normal"/>
    <w:next w:val="Normal"/>
    <w:link w:val="Heading1Char"/>
    <w:uiPriority w:val="9"/>
    <w:qFormat/>
    <w:rsid w:val="00C6296D"/>
    <w:pPr>
      <w:contextualSpacing/>
      <w:outlineLvl w:val="0"/>
    </w:pPr>
    <w:rPr>
      <w:rFonts w:eastAsia="Calibri" w:cs="Times New Roman"/>
      <w:b/>
      <w:kern w:val="0"/>
      <w:sz w:val="24"/>
      <w14:ligatures w14:val="none"/>
    </w:rPr>
  </w:style>
  <w:style w:type="paragraph" w:styleId="Heading2">
    <w:name w:val="heading 2"/>
    <w:basedOn w:val="Normal"/>
    <w:next w:val="Normal"/>
    <w:link w:val="Heading2Char"/>
    <w:uiPriority w:val="9"/>
    <w:semiHidden/>
    <w:unhideWhenUsed/>
    <w:qFormat/>
    <w:rsid w:val="00795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5F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5F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5F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5F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5F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5F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5F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96D"/>
    <w:rPr>
      <w:rFonts w:ascii="Calibri" w:eastAsia="Calibri" w:hAnsi="Calibri" w:cs="Times New Roman"/>
      <w:b/>
      <w:kern w:val="0"/>
      <w:sz w:val="24"/>
      <w:lang w:val="en-NZ"/>
      <w14:ligatures w14:val="none"/>
    </w:rPr>
  </w:style>
  <w:style w:type="character" w:customStyle="1" w:styleId="Heading2Char">
    <w:name w:val="Heading 2 Char"/>
    <w:basedOn w:val="DefaultParagraphFont"/>
    <w:link w:val="Heading2"/>
    <w:uiPriority w:val="9"/>
    <w:semiHidden/>
    <w:rsid w:val="00795F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5F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5F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5F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5F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5F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5F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5F88"/>
    <w:rPr>
      <w:rFonts w:eastAsiaTheme="majorEastAsia" w:cstheme="majorBidi"/>
      <w:color w:val="272727" w:themeColor="text1" w:themeTint="D8"/>
    </w:rPr>
  </w:style>
  <w:style w:type="paragraph" w:styleId="Title">
    <w:name w:val="Title"/>
    <w:basedOn w:val="Normal"/>
    <w:next w:val="Normal"/>
    <w:link w:val="TitleChar"/>
    <w:uiPriority w:val="10"/>
    <w:qFormat/>
    <w:rsid w:val="00795F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F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5F8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5F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5F8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5F88"/>
    <w:rPr>
      <w:i/>
      <w:iCs/>
      <w:color w:val="404040" w:themeColor="text1" w:themeTint="BF"/>
    </w:rPr>
  </w:style>
  <w:style w:type="paragraph" w:styleId="ListParagraph">
    <w:name w:val="List Paragraph"/>
    <w:basedOn w:val="Normal"/>
    <w:uiPriority w:val="34"/>
    <w:qFormat/>
    <w:rsid w:val="00795F88"/>
    <w:pPr>
      <w:ind w:left="720"/>
      <w:contextualSpacing/>
    </w:pPr>
  </w:style>
  <w:style w:type="character" w:styleId="IntenseEmphasis">
    <w:name w:val="Intense Emphasis"/>
    <w:basedOn w:val="DefaultParagraphFont"/>
    <w:uiPriority w:val="21"/>
    <w:qFormat/>
    <w:rsid w:val="00795F88"/>
    <w:rPr>
      <w:i/>
      <w:iCs/>
      <w:color w:val="0F4761" w:themeColor="accent1" w:themeShade="BF"/>
    </w:rPr>
  </w:style>
  <w:style w:type="paragraph" w:styleId="IntenseQuote">
    <w:name w:val="Intense Quote"/>
    <w:basedOn w:val="Normal"/>
    <w:next w:val="Normal"/>
    <w:link w:val="IntenseQuoteChar"/>
    <w:uiPriority w:val="30"/>
    <w:qFormat/>
    <w:rsid w:val="00795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5F88"/>
    <w:rPr>
      <w:i/>
      <w:iCs/>
      <w:color w:val="0F4761" w:themeColor="accent1" w:themeShade="BF"/>
    </w:rPr>
  </w:style>
  <w:style w:type="character" w:styleId="IntenseReference">
    <w:name w:val="Intense Reference"/>
    <w:basedOn w:val="DefaultParagraphFont"/>
    <w:uiPriority w:val="32"/>
    <w:qFormat/>
    <w:rsid w:val="00795F88"/>
    <w:rPr>
      <w:b/>
      <w:bCs/>
      <w:smallCaps/>
      <w:color w:val="0F4761" w:themeColor="accent1" w:themeShade="BF"/>
      <w:spacing w:val="5"/>
    </w:rPr>
  </w:style>
  <w:style w:type="paragraph" w:styleId="FootnoteText">
    <w:name w:val="footnote text"/>
    <w:aliases w:val="Footnote Text Char1,Footnote Text Char Char,NZPR Endnotes"/>
    <w:basedOn w:val="Normal"/>
    <w:link w:val="FootnoteTextChar"/>
    <w:autoRedefine/>
    <w:unhideWhenUsed/>
    <w:qFormat/>
    <w:rsid w:val="00396C7C"/>
    <w:rPr>
      <w:rFonts w:eastAsia="Calibri" w:cs="Times New Roman"/>
      <w:kern w:val="0"/>
      <w:sz w:val="20"/>
      <w:szCs w:val="20"/>
      <w:lang w:val="en-US"/>
      <w14:ligatures w14:val="none"/>
    </w:rPr>
  </w:style>
  <w:style w:type="character" w:customStyle="1" w:styleId="FootnoteTextChar">
    <w:name w:val="Footnote Text Char"/>
    <w:aliases w:val="Footnote Text Char1 Char,Footnote Text Char Char Char,NZPR Endnotes Char"/>
    <w:basedOn w:val="DefaultParagraphFont"/>
    <w:link w:val="FootnoteText"/>
    <w:rsid w:val="00396C7C"/>
    <w:rPr>
      <w:rFonts w:ascii="Calibri" w:eastAsia="Calibri" w:hAnsi="Calibri" w:cs="Times New Roman"/>
      <w:kern w:val="0"/>
      <w:sz w:val="20"/>
      <w:szCs w:val="20"/>
      <w:lang w:val="en-US"/>
      <w14:ligatures w14:val="none"/>
    </w:rPr>
  </w:style>
  <w:style w:type="character" w:styleId="FootnoteReference">
    <w:name w:val="footnote reference"/>
    <w:basedOn w:val="DefaultParagraphFont"/>
    <w:uiPriority w:val="99"/>
    <w:semiHidden/>
    <w:unhideWhenUsed/>
    <w:rsid w:val="00396C7C"/>
    <w:rPr>
      <w:vertAlign w:val="superscript"/>
    </w:rPr>
  </w:style>
  <w:style w:type="character" w:customStyle="1" w:styleId="hgkelc">
    <w:name w:val="hgkelc"/>
    <w:basedOn w:val="DefaultParagraphFont"/>
    <w:rsid w:val="00396C7C"/>
  </w:style>
  <w:style w:type="character" w:styleId="EndnoteReference">
    <w:name w:val="endnote reference"/>
    <w:basedOn w:val="DefaultParagraphFont"/>
    <w:uiPriority w:val="99"/>
    <w:semiHidden/>
    <w:unhideWhenUsed/>
    <w:rsid w:val="00396C7C"/>
    <w:rPr>
      <w:vertAlign w:val="superscript"/>
    </w:rPr>
  </w:style>
  <w:style w:type="character" w:customStyle="1" w:styleId="Hyperlink1">
    <w:name w:val="Hyperlink1"/>
    <w:basedOn w:val="DefaultParagraphFont"/>
    <w:uiPriority w:val="99"/>
    <w:unhideWhenUsed/>
    <w:rsid w:val="00396C7C"/>
    <w:rPr>
      <w:color w:val="410082"/>
      <w:u w:val="single"/>
    </w:rPr>
  </w:style>
  <w:style w:type="paragraph" w:styleId="EndnoteText">
    <w:name w:val="endnote text"/>
    <w:basedOn w:val="Normal"/>
    <w:link w:val="EndnoteTextChar"/>
    <w:uiPriority w:val="99"/>
    <w:unhideWhenUsed/>
    <w:rsid w:val="00396C7C"/>
    <w:rPr>
      <w:rFonts w:eastAsia="Calibri" w:cs="Times New Roman"/>
      <w:kern w:val="0"/>
      <w:sz w:val="20"/>
      <w:szCs w:val="20"/>
      <w14:ligatures w14:val="none"/>
    </w:rPr>
  </w:style>
  <w:style w:type="character" w:customStyle="1" w:styleId="EndnoteTextChar">
    <w:name w:val="Endnote Text Char"/>
    <w:basedOn w:val="DefaultParagraphFont"/>
    <w:link w:val="EndnoteText"/>
    <w:uiPriority w:val="99"/>
    <w:rsid w:val="00396C7C"/>
    <w:rPr>
      <w:rFonts w:ascii="Calibri" w:eastAsia="Calibri" w:hAnsi="Calibri" w:cs="Times New Roman"/>
      <w:kern w:val="0"/>
      <w:sz w:val="20"/>
      <w:szCs w:val="20"/>
      <w14:ligatures w14:val="none"/>
    </w:rPr>
  </w:style>
  <w:style w:type="character" w:styleId="Hyperlink">
    <w:name w:val="Hyperlink"/>
    <w:basedOn w:val="DefaultParagraphFont"/>
    <w:uiPriority w:val="99"/>
    <w:unhideWhenUsed/>
    <w:rsid w:val="00396C7C"/>
    <w:rPr>
      <w:color w:val="467886" w:themeColor="hyperlink"/>
      <w:u w:val="single"/>
    </w:rPr>
  </w:style>
  <w:style w:type="character" w:styleId="UnresolvedMention">
    <w:name w:val="Unresolved Mention"/>
    <w:basedOn w:val="DefaultParagraphFont"/>
    <w:uiPriority w:val="99"/>
    <w:semiHidden/>
    <w:unhideWhenUsed/>
    <w:rsid w:val="00823D3E"/>
    <w:rPr>
      <w:color w:val="605E5C"/>
      <w:shd w:val="clear" w:color="auto" w:fill="E1DFDD"/>
    </w:rPr>
  </w:style>
  <w:style w:type="paragraph" w:styleId="NormalWeb">
    <w:name w:val="Normal (Web)"/>
    <w:basedOn w:val="Normal"/>
    <w:uiPriority w:val="99"/>
    <w:semiHidden/>
    <w:unhideWhenUsed/>
    <w:rsid w:val="00D43C53"/>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8778A3"/>
    <w:rPr>
      <w:color w:val="96607D" w:themeColor="followedHyperlink"/>
      <w:u w:val="single"/>
    </w:rPr>
  </w:style>
  <w:style w:type="table" w:styleId="TableGrid">
    <w:name w:val="Table Grid"/>
    <w:basedOn w:val="TableNormal"/>
    <w:uiPriority w:val="39"/>
    <w:rsid w:val="004F4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E0AA5"/>
    <w:pPr>
      <w:tabs>
        <w:tab w:val="center" w:pos="4513"/>
        <w:tab w:val="right" w:pos="9026"/>
      </w:tabs>
    </w:pPr>
  </w:style>
  <w:style w:type="character" w:customStyle="1" w:styleId="FooterChar">
    <w:name w:val="Footer Char"/>
    <w:basedOn w:val="DefaultParagraphFont"/>
    <w:link w:val="Footer"/>
    <w:uiPriority w:val="99"/>
    <w:rsid w:val="003E0AA5"/>
  </w:style>
  <w:style w:type="paragraph" w:styleId="Header">
    <w:name w:val="header"/>
    <w:basedOn w:val="Normal"/>
    <w:link w:val="HeaderChar"/>
    <w:uiPriority w:val="99"/>
    <w:unhideWhenUsed/>
    <w:rsid w:val="00B94091"/>
    <w:pPr>
      <w:tabs>
        <w:tab w:val="center" w:pos="4513"/>
        <w:tab w:val="right" w:pos="9026"/>
      </w:tabs>
    </w:pPr>
  </w:style>
  <w:style w:type="character" w:customStyle="1" w:styleId="HeaderChar">
    <w:name w:val="Header Char"/>
    <w:basedOn w:val="DefaultParagraphFont"/>
    <w:link w:val="Header"/>
    <w:uiPriority w:val="99"/>
    <w:rsid w:val="00B94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13401">
      <w:bodyDiv w:val="1"/>
      <w:marLeft w:val="0"/>
      <w:marRight w:val="0"/>
      <w:marTop w:val="0"/>
      <w:marBottom w:val="0"/>
      <w:divBdr>
        <w:top w:val="none" w:sz="0" w:space="0" w:color="auto"/>
        <w:left w:val="none" w:sz="0" w:space="0" w:color="auto"/>
        <w:bottom w:val="none" w:sz="0" w:space="0" w:color="auto"/>
        <w:right w:val="none" w:sz="0" w:space="0" w:color="auto"/>
      </w:divBdr>
    </w:div>
    <w:div w:id="170878064">
      <w:bodyDiv w:val="1"/>
      <w:marLeft w:val="0"/>
      <w:marRight w:val="0"/>
      <w:marTop w:val="0"/>
      <w:marBottom w:val="0"/>
      <w:divBdr>
        <w:top w:val="none" w:sz="0" w:space="0" w:color="auto"/>
        <w:left w:val="none" w:sz="0" w:space="0" w:color="auto"/>
        <w:bottom w:val="none" w:sz="0" w:space="0" w:color="auto"/>
        <w:right w:val="none" w:sz="0" w:space="0" w:color="auto"/>
      </w:divBdr>
    </w:div>
    <w:div w:id="381641818">
      <w:bodyDiv w:val="1"/>
      <w:marLeft w:val="0"/>
      <w:marRight w:val="0"/>
      <w:marTop w:val="0"/>
      <w:marBottom w:val="0"/>
      <w:divBdr>
        <w:top w:val="none" w:sz="0" w:space="0" w:color="auto"/>
        <w:left w:val="none" w:sz="0" w:space="0" w:color="auto"/>
        <w:bottom w:val="none" w:sz="0" w:space="0" w:color="auto"/>
        <w:right w:val="none" w:sz="0" w:space="0" w:color="auto"/>
      </w:divBdr>
    </w:div>
    <w:div w:id="670372099">
      <w:bodyDiv w:val="1"/>
      <w:marLeft w:val="0"/>
      <w:marRight w:val="0"/>
      <w:marTop w:val="0"/>
      <w:marBottom w:val="0"/>
      <w:divBdr>
        <w:top w:val="none" w:sz="0" w:space="0" w:color="auto"/>
        <w:left w:val="none" w:sz="0" w:space="0" w:color="auto"/>
        <w:bottom w:val="none" w:sz="0" w:space="0" w:color="auto"/>
        <w:right w:val="none" w:sz="0" w:space="0" w:color="auto"/>
      </w:divBdr>
    </w:div>
    <w:div w:id="1179541878">
      <w:bodyDiv w:val="1"/>
      <w:marLeft w:val="0"/>
      <w:marRight w:val="0"/>
      <w:marTop w:val="0"/>
      <w:marBottom w:val="0"/>
      <w:divBdr>
        <w:top w:val="none" w:sz="0" w:space="0" w:color="auto"/>
        <w:left w:val="none" w:sz="0" w:space="0" w:color="auto"/>
        <w:bottom w:val="none" w:sz="0" w:space="0" w:color="auto"/>
        <w:right w:val="none" w:sz="0" w:space="0" w:color="auto"/>
      </w:divBdr>
    </w:div>
    <w:div w:id="1648781462">
      <w:bodyDiv w:val="1"/>
      <w:marLeft w:val="0"/>
      <w:marRight w:val="0"/>
      <w:marTop w:val="0"/>
      <w:marBottom w:val="0"/>
      <w:divBdr>
        <w:top w:val="none" w:sz="0" w:space="0" w:color="auto"/>
        <w:left w:val="none" w:sz="0" w:space="0" w:color="auto"/>
        <w:bottom w:val="none" w:sz="0" w:space="0" w:color="auto"/>
        <w:right w:val="none" w:sz="0" w:space="0" w:color="auto"/>
      </w:divBdr>
    </w:div>
    <w:div w:id="205418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limatedata.environment.govt.nz/core-public-datase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imateData@mfe.govt.nz%2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35999779" TargetMode="External"/><Relationship Id="rId13" Type="http://schemas.openxmlformats.org/officeDocument/2006/relationships/hyperlink" Target="https://www.climatecommission.govt.nz/assets/Monitoring-and-reporting/NAPPA-2024/3.a-EHINZ_Social-vulnerability-to-the-impacts-of-climate-related-hazards.pdf" TargetMode="External"/><Relationship Id="rId3" Type="http://schemas.openxmlformats.org/officeDocument/2006/relationships/hyperlink" Target="https://www.unidata.ucar.edu/software/netcdf/" TargetMode="External"/><Relationship Id="rId7" Type="http://schemas.openxmlformats.org/officeDocument/2006/relationships/hyperlink" Target="https://population.org.nz/wp-content/uploads/2024/10/NZPR-VOL-50_McLeod-and-Renwick.pdf" TargetMode="External"/><Relationship Id="rId12" Type="http://schemas.openxmlformats.org/officeDocument/2006/relationships/hyperlink" Target="https://www.mdpi.com/1660-4601/18/8/3952" TargetMode="External"/><Relationship Id="rId17" Type="http://schemas.openxmlformats.org/officeDocument/2006/relationships/hyperlink" Target="https://www.stats.govt.nz/geographic-boundary-viewer/" TargetMode="External"/><Relationship Id="rId2" Type="http://schemas.openxmlformats.org/officeDocument/2006/relationships/hyperlink" Target="https://niwa.co.nz/climate-and-weather/updated-national-climate-projections-new-zealand" TargetMode="External"/><Relationship Id="rId16" Type="http://schemas.openxmlformats.org/officeDocument/2006/relationships/hyperlink" Target="https://www.stats.govt.nz/methods/statistical-standard-for-geographic-areas-2023/" TargetMode="External"/><Relationship Id="rId1" Type="http://schemas.openxmlformats.org/officeDocument/2006/relationships/hyperlink" Target="https://climatedata.environment.govt.nz/files/CMIP6_guidance_doc_June2024.pdf" TargetMode="External"/><Relationship Id="rId6" Type="http://schemas.openxmlformats.org/officeDocument/2006/relationships/hyperlink" Target="https://www.esri.com/en-us/arcgis/geospatial-platform/overview" TargetMode="External"/><Relationship Id="rId11" Type="http://schemas.openxmlformats.org/officeDocument/2006/relationships/hyperlink" Target="https://www.otago.ac.nz/%20__data/assets/pdf_file/0026/593135/NZDep2023-Research-Report-31-October-2024.pdf" TargetMode="External"/><Relationship Id="rId5" Type="http://schemas.openxmlformats.org/officeDocument/2006/relationships/hyperlink" Target="http://www.jstor.org.helicon.vuw.ac.nz/stable/43944886" TargetMode="External"/><Relationship Id="rId15" Type="http://schemas.openxmlformats.org/officeDocument/2006/relationships/hyperlink" Target="https://population.org.nz/wp-content/uploads/2024/10/NZPR-VOL-50_McLeod-and-Renwick.pdf" TargetMode="External"/><Relationship Id="rId10" Type="http://schemas.openxmlformats.org/officeDocument/2006/relationships/hyperlink" Target="https://www.otago.ac.nz/wellington/research/groups/research-groups-in-the-department-of-public-health/hirp/socioeconomic-deprivation-indexes-nzdep-and-nzidep-department-of-public-health" TargetMode="External"/><Relationship Id="rId4" Type="http://schemas.openxmlformats.org/officeDocument/2006/relationships/hyperlink" Target="http://www.jstor.org/stable/26169743" TargetMode="External"/><Relationship Id="rId9" Type="http://schemas.openxmlformats.org/officeDocument/2006/relationships/hyperlink" Target="https://environment.govt.nz/publications/arotakenga-huringa-ahuarangi-a-framework-for-the-national-climate-change-risk-assessment-for-aotearoa-new-zealand/" TargetMode="External"/><Relationship Id="rId14" Type="http://schemas.openxmlformats.org/officeDocument/2006/relationships/hyperlink" Target="https://www.ehinz.ac.nz/social-vulnerability/social-vulnerability-indicators-for-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 Puna Document" ma:contentTypeID="0x010100D50ED7AFFD01F14AA9CDF79350FE43BA00D6EDFF20929DCF4EA8192F86BEA695E0" ma:contentTypeVersion="30" ma:contentTypeDescription="Create a new document." ma:contentTypeScope="" ma:versionID="799fc98c411970774d303a8e28c6653d">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545ec8090e02c56951f65babc93fe558"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MTS_x0020_Type" minOccurs="0"/>
                <xsd:element ref="ns3:MTS_x0020_ID"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lcf76f155ced4ddcb4097134ff3c332f" minOccurs="0"/>
                <xsd:element ref="ns2:TaxCatchAll"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9"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Other_x0020_Details_2" ma:index="39" nillable="true" ma:displayName="Other Details_2" ma:description="" ma:internalName="Other_x0020_Details_2">
      <xsd:simpleType>
        <xsd:restriction base="dms:Text">
          <xsd:maxLength value="255"/>
        </xsd:restriction>
      </xsd:simpleType>
    </xsd:element>
    <xsd:element name="MTS_x0020_Type" ma:index="40" nillable="true" ma:displayName="MTS Type" ma:default="" ma:description="" ma:internalName="MTS_x0020_Type">
      <xsd:simpleType>
        <xsd:restriction base="dms:Note">
          <xsd:maxLength value="255"/>
        </xsd:restriction>
      </xsd:simpleType>
    </xsd:element>
    <xsd:element name="MTS_x0020_ID" ma:index="41" nillable="true" ma:displayName="MTS ID" ma:default="" ma:description="" ma:internalName="MTS_x0020_ID">
      <xsd:simpleType>
        <xsd:restriction base="dms:Text">
          <xsd:maxLength value="255"/>
        </xsd:restriction>
      </xsd:simpleType>
    </xsd:element>
    <xsd:element name="Supplemental_x0020_Markings" ma:index="42" nillable="true" ma:displayName="Supplemental Markings" ma:description="" ma:internalName="Supplemental_x0020_Markings">
      <xsd:simpleType>
        <xsd:restriction base="dms:Note">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element name="Contract_x0020_Number" ma:index="46" nillable="true" ma:displayName="Contract Number" ma:default="" ma:description="" ma:internalName="Contract_x0020_Number">
      <xsd:simpleType>
        <xsd:restriction base="dms:Text">
          <xsd:maxLength value="255"/>
        </xsd:restriction>
      </xsd:simpleType>
    </xsd:element>
    <xsd:element name="Other_x0020_Details_3" ma:index="47" nillable="true" ma:displayName="Other Details_3" ma:description="" ma:internalName="Other_x0020_Details_3">
      <xsd:simpleType>
        <xsd:restriction base="dms:Text">
          <xsd:maxLength value="255"/>
        </xsd:restriction>
      </xsd:simpleType>
    </xsd:element>
    <xsd:element name="lcf76f155ced4ddcb4097134ff3c332f" ma:index="48" nillable="true" ma:displayName="Image Tags_0" ma:hidden="true" ma:internalName="lcf76f155ced4ddcb4097134ff3c332f">
      <xsd:simpleType>
        <xsd:restriction base="dms:Note"/>
      </xsd:simpleType>
    </xsd:element>
    <xsd:element name="_Flow_SignoffStatus" ma:index="5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_Flow_SignoffStatus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xsi:nil="true"/>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ExtendedDescription xmlns="http://schemas.microsoft.com/sharepoint/v3" xsi:nil="true"/>
    <OpenText_x0020_Path xmlns="4a94300e-a927-4b92-9d3a-682523035cb6" xsi:nil="true"/>
    <Nickname xmlns="4a94300e-a927-4b92-9d3a-682523035cb6" xsi:nil="true"/>
    <Current_x0020_Security_x0020_Clearance_x0020_Level xmlns="4a94300e-a927-4b92-9d3a-682523035cb6" xsi:nil="true"/>
    <Owned_x0020_By xmlns="4a94300e-a927-4b92-9d3a-682523035cb6">
      <UserInfo>
        <DisplayName/>
        <AccountId xsi:nil="true"/>
        <AccountType/>
      </UserInfo>
    </Owned_x0020_By>
    <Te_x0020_Puna_x0020_Created_x0020_By xmlns="4a94300e-a927-4b92-9d3a-682523035cb6" xsi:nil="true"/>
    <Te_x0020_Puna_x0020_Owned_x0020_By xmlns="4a94300e-a927-4b92-9d3a-682523035cb6" xsi:nil="true"/>
    <Best_x0020_Bets_x0020_Expiry xmlns="4a94300e-a927-4b92-9d3a-682523035cb6" xsi:nil="true"/>
    <Te_x0020_Puna_x0020_Name xmlns="4a94300e-a927-4b92-9d3a-682523035cb6" xsi:nil="true"/>
    <Audit xmlns="4a94300e-a927-4b92-9d3a-682523035cb6" xsi:nil="true"/>
    <Best_x0020_Bets_x0020_Value xmlns="4a94300e-a927-4b92-9d3a-682523035cb6" xsi:nil="true"/>
    <Te_x0020_Puna_x0020_Modified_x0020_By xmlns="4a94300e-a927-4b92-9d3a-682523035cb6" xsi:nil="true"/>
    <_dlc_DocId xmlns="58a6f171-52cb-4404-b47d-af1c8daf8fd1">ECM-547756131-195124</_dlc_DocId>
    <_dlc_DocIdUrl xmlns="58a6f171-52cb-4404-b47d-af1c8daf8fd1">
      <Url>https://ministryforenvironment.sharepoint.com/sites/ECM-Pol-CAP/_layouts/15/DocIdRedir.aspx?ID=ECM-547756131-195124</Url>
      <Description>ECM-547756131-195124</Description>
    </_dlc_DocIdUrl>
  </documentManagement>
</p:properties>
</file>

<file path=customXml/itemProps1.xml><?xml version="1.0" encoding="utf-8"?>
<ds:datastoreItem xmlns:ds="http://schemas.openxmlformats.org/officeDocument/2006/customXml" ds:itemID="{59045376-B538-4502-A600-40175DBA1A85}">
  <ds:schemaRefs>
    <ds:schemaRef ds:uri="http://schemas.microsoft.com/sharepoint/v3/contenttype/forms"/>
  </ds:schemaRefs>
</ds:datastoreItem>
</file>

<file path=customXml/itemProps2.xml><?xml version="1.0" encoding="utf-8"?>
<ds:datastoreItem xmlns:ds="http://schemas.openxmlformats.org/officeDocument/2006/customXml" ds:itemID="{7CB69101-853A-422A-BAB6-B161E58A4060}">
  <ds:schemaRefs>
    <ds:schemaRef ds:uri="http://schemas.microsoft.com/sharepoint/events"/>
  </ds:schemaRefs>
</ds:datastoreItem>
</file>

<file path=customXml/itemProps3.xml><?xml version="1.0" encoding="utf-8"?>
<ds:datastoreItem xmlns:ds="http://schemas.openxmlformats.org/officeDocument/2006/customXml" ds:itemID="{0FEDCB57-00D3-4B7F-A5BA-79F93425F157}">
  <ds:schemaRefs>
    <ds:schemaRef ds:uri="http://schemas.openxmlformats.org/officeDocument/2006/bibliography"/>
  </ds:schemaRefs>
</ds:datastoreItem>
</file>

<file path=customXml/itemProps4.xml><?xml version="1.0" encoding="utf-8"?>
<ds:datastoreItem xmlns:ds="http://schemas.openxmlformats.org/officeDocument/2006/customXml" ds:itemID="{4CD36D58-7278-4CA5-8503-BDE52461D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ED6882-F5A1-4430-BF19-24F8F3BBE2E9}">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2189</Words>
  <Characters>12483</Characters>
  <Application>Microsoft Office Word</Application>
  <DocSecurity>4</DocSecurity>
  <Lines>104</Lines>
  <Paragraphs>29</Paragraphs>
  <ScaleCrop>false</ScaleCrop>
  <Company/>
  <LinksUpToDate>false</LinksUpToDate>
  <CharactersWithSpaces>14643</CharactersWithSpaces>
  <SharedDoc>false</SharedDoc>
  <HLinks>
    <vt:vector size="114" baseType="variant">
      <vt:variant>
        <vt:i4>2162770</vt:i4>
      </vt:variant>
      <vt:variant>
        <vt:i4>6</vt:i4>
      </vt:variant>
      <vt:variant>
        <vt:i4>0</vt:i4>
      </vt:variant>
      <vt:variant>
        <vt:i4>5</vt:i4>
      </vt:variant>
      <vt:variant>
        <vt:lpwstr>mailto:ClimateData@mfe.govt.nz</vt:lpwstr>
      </vt:variant>
      <vt:variant>
        <vt:lpwstr/>
      </vt:variant>
      <vt:variant>
        <vt:i4>2555948</vt:i4>
      </vt:variant>
      <vt:variant>
        <vt:i4>0</vt:i4>
      </vt:variant>
      <vt:variant>
        <vt:i4>0</vt:i4>
      </vt:variant>
      <vt:variant>
        <vt:i4>5</vt:i4>
      </vt:variant>
      <vt:variant>
        <vt:lpwstr>https://climatedata.environment.govt.nz/core-public-dataset.html</vt:lpwstr>
      </vt:variant>
      <vt:variant>
        <vt:lpwstr>vcsn-agent-data</vt:lpwstr>
      </vt:variant>
      <vt:variant>
        <vt:i4>1310789</vt:i4>
      </vt:variant>
      <vt:variant>
        <vt:i4>54</vt:i4>
      </vt:variant>
      <vt:variant>
        <vt:i4>0</vt:i4>
      </vt:variant>
      <vt:variant>
        <vt:i4>5</vt:i4>
      </vt:variant>
      <vt:variant>
        <vt:lpwstr>https://www.stats.govt.nz/geographic-boundary-viewer/</vt:lpwstr>
      </vt:variant>
      <vt:variant>
        <vt:lpwstr/>
      </vt:variant>
      <vt:variant>
        <vt:i4>5505045</vt:i4>
      </vt:variant>
      <vt:variant>
        <vt:i4>51</vt:i4>
      </vt:variant>
      <vt:variant>
        <vt:i4>0</vt:i4>
      </vt:variant>
      <vt:variant>
        <vt:i4>5</vt:i4>
      </vt:variant>
      <vt:variant>
        <vt:lpwstr>https://www.stats.govt.nz/methods/statistical-standard-for-geographic-areas-2023/</vt:lpwstr>
      </vt:variant>
      <vt:variant>
        <vt:lpwstr/>
      </vt:variant>
      <vt:variant>
        <vt:i4>2490368</vt:i4>
      </vt:variant>
      <vt:variant>
        <vt:i4>48</vt:i4>
      </vt:variant>
      <vt:variant>
        <vt:i4>0</vt:i4>
      </vt:variant>
      <vt:variant>
        <vt:i4>5</vt:i4>
      </vt:variant>
      <vt:variant>
        <vt:lpwstr>https://population.org.nz/wp-content/uploads/2024/10/NZPR-VOL-50_McLeod-and-Renwick.pdf</vt:lpwstr>
      </vt:variant>
      <vt:variant>
        <vt:lpwstr/>
      </vt:variant>
      <vt:variant>
        <vt:i4>7077994</vt:i4>
      </vt:variant>
      <vt:variant>
        <vt:i4>45</vt:i4>
      </vt:variant>
      <vt:variant>
        <vt:i4>0</vt:i4>
      </vt:variant>
      <vt:variant>
        <vt:i4>5</vt:i4>
      </vt:variant>
      <vt:variant>
        <vt:lpwstr>https://www.ehinz.ac.nz/social-vulnerability/social-vulnerability-indicators-for-2023/</vt:lpwstr>
      </vt:variant>
      <vt:variant>
        <vt:lpwstr/>
      </vt:variant>
      <vt:variant>
        <vt:i4>1835107</vt:i4>
      </vt:variant>
      <vt:variant>
        <vt:i4>42</vt:i4>
      </vt:variant>
      <vt:variant>
        <vt:i4>0</vt:i4>
      </vt:variant>
      <vt:variant>
        <vt:i4>5</vt:i4>
      </vt:variant>
      <vt:variant>
        <vt:lpwstr>https://www.climatecommission.govt.nz/assets/Monitoring-and-reporting/NAPPA-2024/3.a-EHINZ_Social-vulnerability-to-the-impacts-of-climate-related-hazards.pdf</vt:lpwstr>
      </vt:variant>
      <vt:variant>
        <vt:lpwstr/>
      </vt:variant>
      <vt:variant>
        <vt:i4>6029336</vt:i4>
      </vt:variant>
      <vt:variant>
        <vt:i4>39</vt:i4>
      </vt:variant>
      <vt:variant>
        <vt:i4>0</vt:i4>
      </vt:variant>
      <vt:variant>
        <vt:i4>5</vt:i4>
      </vt:variant>
      <vt:variant>
        <vt:lpwstr>https://www.mdpi.com/1660-4601/18/8/3952</vt:lpwstr>
      </vt:variant>
      <vt:variant>
        <vt:lpwstr/>
      </vt:variant>
      <vt:variant>
        <vt:i4>7864322</vt:i4>
      </vt:variant>
      <vt:variant>
        <vt:i4>36</vt:i4>
      </vt:variant>
      <vt:variant>
        <vt:i4>0</vt:i4>
      </vt:variant>
      <vt:variant>
        <vt:i4>5</vt:i4>
      </vt:variant>
      <vt:variant>
        <vt:lpwstr>https://www.otago.ac.nz/ __data/assets/pdf_file/0026/593135/NZDep2023-Research-Report-31-October-2024.pdf</vt:lpwstr>
      </vt:variant>
      <vt:variant>
        <vt:lpwstr/>
      </vt:variant>
      <vt:variant>
        <vt:i4>5111885</vt:i4>
      </vt:variant>
      <vt:variant>
        <vt:i4>33</vt:i4>
      </vt:variant>
      <vt:variant>
        <vt:i4>0</vt:i4>
      </vt:variant>
      <vt:variant>
        <vt:i4>5</vt:i4>
      </vt:variant>
      <vt:variant>
        <vt:lpwstr>https://www.otago.ac.nz/wellington/research/groups/research-groups-in-the-department-of-public-health/hirp/socioeconomic-deprivation-indexes-nzdep-and-nzidep-department-of-public-health</vt:lpwstr>
      </vt:variant>
      <vt:variant>
        <vt:lpwstr/>
      </vt:variant>
      <vt:variant>
        <vt:i4>6815850</vt:i4>
      </vt:variant>
      <vt:variant>
        <vt:i4>30</vt:i4>
      </vt:variant>
      <vt:variant>
        <vt:i4>0</vt:i4>
      </vt:variant>
      <vt:variant>
        <vt:i4>5</vt:i4>
      </vt:variant>
      <vt:variant>
        <vt:lpwstr>https://environment.govt.nz/publications/arotakenga-huringa-ahuarangi-a-framework-for-the-national-climate-change-risk-assessment-for-aotearoa-new-zealand/</vt:lpwstr>
      </vt:variant>
      <vt:variant>
        <vt:lpwstr/>
      </vt:variant>
      <vt:variant>
        <vt:i4>786527</vt:i4>
      </vt:variant>
      <vt:variant>
        <vt:i4>21</vt:i4>
      </vt:variant>
      <vt:variant>
        <vt:i4>0</vt:i4>
      </vt:variant>
      <vt:variant>
        <vt:i4>5</vt:i4>
      </vt:variant>
      <vt:variant>
        <vt:lpwstr>https://www.ncbi.nlm.nih.gov/pubmed/35999779</vt:lpwstr>
      </vt:variant>
      <vt:variant>
        <vt:lpwstr/>
      </vt:variant>
      <vt:variant>
        <vt:i4>2490368</vt:i4>
      </vt:variant>
      <vt:variant>
        <vt:i4>18</vt:i4>
      </vt:variant>
      <vt:variant>
        <vt:i4>0</vt:i4>
      </vt:variant>
      <vt:variant>
        <vt:i4>5</vt:i4>
      </vt:variant>
      <vt:variant>
        <vt:lpwstr>https://population.org.nz/wp-content/uploads/2024/10/NZPR-VOL-50_McLeod-and-Renwick.pdf</vt:lpwstr>
      </vt:variant>
      <vt:variant>
        <vt:lpwstr/>
      </vt:variant>
      <vt:variant>
        <vt:i4>6357032</vt:i4>
      </vt:variant>
      <vt:variant>
        <vt:i4>15</vt:i4>
      </vt:variant>
      <vt:variant>
        <vt:i4>0</vt:i4>
      </vt:variant>
      <vt:variant>
        <vt:i4>5</vt:i4>
      </vt:variant>
      <vt:variant>
        <vt:lpwstr>https://www.esri.com/en-us/arcgis/geospatial-platform/overview</vt:lpwstr>
      </vt:variant>
      <vt:variant>
        <vt:lpwstr/>
      </vt:variant>
      <vt:variant>
        <vt:i4>2752632</vt:i4>
      </vt:variant>
      <vt:variant>
        <vt:i4>12</vt:i4>
      </vt:variant>
      <vt:variant>
        <vt:i4>0</vt:i4>
      </vt:variant>
      <vt:variant>
        <vt:i4>5</vt:i4>
      </vt:variant>
      <vt:variant>
        <vt:lpwstr>http://www.jstor.org.helicon.vuw.ac.nz/stable/43944886</vt:lpwstr>
      </vt:variant>
      <vt:variant>
        <vt:lpwstr/>
      </vt:variant>
      <vt:variant>
        <vt:i4>1704002</vt:i4>
      </vt:variant>
      <vt:variant>
        <vt:i4>9</vt:i4>
      </vt:variant>
      <vt:variant>
        <vt:i4>0</vt:i4>
      </vt:variant>
      <vt:variant>
        <vt:i4>5</vt:i4>
      </vt:variant>
      <vt:variant>
        <vt:lpwstr>http://www.jstor.org/stable/26169743</vt:lpwstr>
      </vt:variant>
      <vt:variant>
        <vt:lpwstr/>
      </vt:variant>
      <vt:variant>
        <vt:i4>4587596</vt:i4>
      </vt:variant>
      <vt:variant>
        <vt:i4>6</vt:i4>
      </vt:variant>
      <vt:variant>
        <vt:i4>0</vt:i4>
      </vt:variant>
      <vt:variant>
        <vt:i4>5</vt:i4>
      </vt:variant>
      <vt:variant>
        <vt:lpwstr>https://www.unidata.ucar.edu/software/netcdf/</vt:lpwstr>
      </vt:variant>
      <vt:variant>
        <vt:lpwstr/>
      </vt:variant>
      <vt:variant>
        <vt:i4>3604533</vt:i4>
      </vt:variant>
      <vt:variant>
        <vt:i4>3</vt:i4>
      </vt:variant>
      <vt:variant>
        <vt:i4>0</vt:i4>
      </vt:variant>
      <vt:variant>
        <vt:i4>5</vt:i4>
      </vt:variant>
      <vt:variant>
        <vt:lpwstr>https://niwa.co.nz/climate-and-weather/updated-national-climate-projections-new-zealand</vt:lpwstr>
      </vt:variant>
      <vt:variant>
        <vt:lpwstr/>
      </vt:variant>
      <vt:variant>
        <vt:i4>7798871</vt:i4>
      </vt:variant>
      <vt:variant>
        <vt:i4>0</vt:i4>
      </vt:variant>
      <vt:variant>
        <vt:i4>0</vt:i4>
      </vt:variant>
      <vt:variant>
        <vt:i4>5</vt:i4>
      </vt:variant>
      <vt:variant>
        <vt:lpwstr>https://climatedata.environment.govt.nz/files/CMIP6_guidance_doc_June2024.pdf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McLeod</dc:creator>
  <cp:keywords/>
  <dc:description/>
  <cp:lastModifiedBy>Matt Halstead</cp:lastModifiedBy>
  <cp:revision>14</cp:revision>
  <dcterms:created xsi:type="dcterms:W3CDTF">2025-07-30T20:28:00Z</dcterms:created>
  <dcterms:modified xsi:type="dcterms:W3CDTF">2025-07-31T04:05:00Z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0x010100D50ED7AFFD01F14AA9CDF79350FE43BA00D6EDFF20929DCF4EA8192F86BEA695E0</vt:lpwstr>
  </property>
  <property fmtid="{D5CDD505-2E9C-101B-9397-08002B2CF9AE}" pid="3" name="Order">
    <vt:r8>3802400</vt:r8>
  </property>
  <property fmtid="{D5CDD505-2E9C-101B-9397-08002B2CF9AE}" pid="4" name="SharedWithUser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riggerFlowInfo">
    <vt:lpwstr/>
  </property>
  <property fmtid="{D5CDD505-2E9C-101B-9397-08002B2CF9AE}" pid="9" name="_ip_UnifiedCompliancePolicyProperties">
    <vt:lpwstr/>
  </property>
  <property fmtid="{D5CDD505-2E9C-101B-9397-08002B2CF9AE}" pid="10" name="_dlc_DocIdItemGuid">
    <vt:lpwstr>89bccea2-0b77-47ee-8548-196e5104cbb1</vt:lpwstr>
  </property>
  <property fmtid="{D5CDD505-2E9C-101B-9397-08002B2CF9AE}" pid="11" name="MediaServiceImageTags">
    <vt:lpwstr/>
  </property>
  <property fmtid="{D5CDD505-2E9C-101B-9397-08002B2CF9AE}" pid="12" name="MSIP_Label_52dda6cc-d61d-4fd2-bf18-9b3017d931cc_Enabled">
    <vt:lpwstr>true</vt:lpwstr>
  </property>
  <property fmtid="{D5CDD505-2E9C-101B-9397-08002B2CF9AE}" pid="13" name="MSIP_Label_52dda6cc-d61d-4fd2-bf18-9b3017d931cc_SetDate">
    <vt:lpwstr>2025-07-30T01:28:53Z</vt:lpwstr>
  </property>
  <property fmtid="{D5CDD505-2E9C-101B-9397-08002B2CF9AE}" pid="14" name="MSIP_Label_52dda6cc-d61d-4fd2-bf18-9b3017d931cc_Method">
    <vt:lpwstr>Privileged</vt:lpwstr>
  </property>
  <property fmtid="{D5CDD505-2E9C-101B-9397-08002B2CF9AE}" pid="15" name="MSIP_Label_52dda6cc-d61d-4fd2-bf18-9b3017d931cc_Name">
    <vt:lpwstr>[UNCLASSIFIED]</vt:lpwstr>
  </property>
  <property fmtid="{D5CDD505-2E9C-101B-9397-08002B2CF9AE}" pid="16" name="MSIP_Label_52dda6cc-d61d-4fd2-bf18-9b3017d931cc_SiteId">
    <vt:lpwstr>761dd003-d4ff-4049-8a72-8549b20fcbb1</vt:lpwstr>
  </property>
  <property fmtid="{D5CDD505-2E9C-101B-9397-08002B2CF9AE}" pid="17" name="MSIP_Label_52dda6cc-d61d-4fd2-bf18-9b3017d931cc_ActionId">
    <vt:lpwstr>4eda1bad-bc0f-41ea-8637-815b2be04920</vt:lpwstr>
  </property>
  <property fmtid="{D5CDD505-2E9C-101B-9397-08002B2CF9AE}" pid="18" name="MSIP_Label_52dda6cc-d61d-4fd2-bf18-9b3017d931cc_ContentBits">
    <vt:lpwstr>0</vt:lpwstr>
  </property>
  <property fmtid="{D5CDD505-2E9C-101B-9397-08002B2CF9AE}" pid="19" name="MSIP_Label_52dda6cc-d61d-4fd2-bf18-9b3017d931cc_Tag">
    <vt:lpwstr>10, 0, 1, 2</vt:lpwstr>
  </property>
</Properties>
</file>